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239374B"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04380E">
        <w:t>3</w:t>
      </w:r>
      <w:r w:rsidR="00157B85">
        <w:t>-</w:t>
      </w:r>
      <w:r w:rsidR="00B42830">
        <w:t>bis</w:t>
      </w:r>
      <w:r w:rsidRPr="00F06DCE">
        <w:tab/>
      </w:r>
      <w:r w:rsidR="00060620" w:rsidRPr="001962D5">
        <w:rPr>
          <w:sz w:val="32"/>
          <w:szCs w:val="32"/>
        </w:rPr>
        <w:t>R2-</w:t>
      </w:r>
      <w:r w:rsidR="00523578" w:rsidRPr="00523578">
        <w:rPr>
          <w:sz w:val="32"/>
          <w:szCs w:val="32"/>
        </w:rPr>
        <w:t>23</w:t>
      </w:r>
      <w:r w:rsidR="007F37AE">
        <w:rPr>
          <w:sz w:val="32"/>
          <w:szCs w:val="32"/>
        </w:rPr>
        <w:t>10890</w:t>
      </w:r>
    </w:p>
    <w:p w14:paraId="0DEF01D1" w14:textId="5FE40896" w:rsidR="00E90E49" w:rsidRPr="00CE0424" w:rsidRDefault="00C315D9" w:rsidP="00311702">
      <w:pPr>
        <w:pStyle w:val="3GPPHeader"/>
      </w:pPr>
      <w:r>
        <w:t>Xiamen</w:t>
      </w:r>
      <w:r w:rsidRPr="001A5AB6">
        <w:t xml:space="preserve">, </w:t>
      </w:r>
      <w:r>
        <w:t>China</w:t>
      </w:r>
      <w:r w:rsidR="006F1FF2" w:rsidRPr="006F1FF2">
        <w:t xml:space="preserve">, </w:t>
      </w:r>
      <w:r w:rsidR="00157B85">
        <w:t>9</w:t>
      </w:r>
      <w:r w:rsidR="00157B85" w:rsidRPr="00157B85">
        <w:rPr>
          <w:vertAlign w:val="superscript"/>
        </w:rPr>
        <w:t>th</w:t>
      </w:r>
      <w:r w:rsidR="00157B85">
        <w:t xml:space="preserve"> – 13</w:t>
      </w:r>
      <w:r w:rsidR="00157B85" w:rsidRPr="00157B85">
        <w:rPr>
          <w:vertAlign w:val="superscript"/>
        </w:rPr>
        <w:t>th</w:t>
      </w:r>
      <w:r w:rsidR="00157B85">
        <w:t xml:space="preserve"> October 2023</w:t>
      </w:r>
    </w:p>
    <w:p w14:paraId="252563D4" w14:textId="77777777" w:rsidR="00E90E49" w:rsidRPr="00CE0424" w:rsidRDefault="00E90E49" w:rsidP="00357380">
      <w:pPr>
        <w:pStyle w:val="3GPPHeader"/>
      </w:pPr>
    </w:p>
    <w:p w14:paraId="267378A2" w14:textId="341B2C35"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A2641" w:rsidRPr="00DA2641">
        <w:rPr>
          <w:sz w:val="22"/>
          <w:szCs w:val="22"/>
        </w:rPr>
        <w:t>7</w:t>
      </w:r>
      <w:r w:rsidR="006F1FF2" w:rsidRPr="00DA2641">
        <w:rPr>
          <w:sz w:val="22"/>
          <w:szCs w:val="22"/>
        </w:rPr>
        <w:t>.</w:t>
      </w:r>
      <w:r w:rsidR="00DA2641" w:rsidRPr="00DA2641">
        <w:rPr>
          <w:sz w:val="22"/>
          <w:szCs w:val="22"/>
        </w:rPr>
        <w:t>4</w:t>
      </w:r>
      <w:r w:rsidR="006F1FF2" w:rsidRPr="00DA2641">
        <w:rPr>
          <w:sz w:val="22"/>
          <w:szCs w:val="22"/>
        </w:rPr>
        <w:t>.</w:t>
      </w:r>
      <w:r w:rsidR="00DA2641" w:rsidRPr="00DA2641">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E51852E" w:rsidR="00E90E49" w:rsidRPr="00CE0424" w:rsidRDefault="003D3C45" w:rsidP="00311702">
      <w:pPr>
        <w:pStyle w:val="3GPPHeader"/>
        <w:rPr>
          <w:sz w:val="22"/>
          <w:szCs w:val="22"/>
        </w:rPr>
      </w:pPr>
      <w:r>
        <w:rPr>
          <w:sz w:val="22"/>
          <w:szCs w:val="22"/>
        </w:rPr>
        <w:t>Title:</w:t>
      </w:r>
      <w:r w:rsidR="00E90E49" w:rsidRPr="00CE0424">
        <w:rPr>
          <w:sz w:val="22"/>
          <w:szCs w:val="22"/>
        </w:rPr>
        <w:tab/>
      </w:r>
      <w:r w:rsidR="00157B85">
        <w:rPr>
          <w:sz w:val="22"/>
          <w:szCs w:val="22"/>
        </w:rPr>
        <w:t>Discussion on s</w:t>
      </w:r>
      <w:r w:rsidR="003239E4" w:rsidRPr="003239E4">
        <w:rPr>
          <w:sz w:val="22"/>
          <w:szCs w:val="22"/>
        </w:rPr>
        <w:t>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5CB274D8" w14:textId="4108A144" w:rsidR="00392BBE" w:rsidRDefault="006F1FF2" w:rsidP="00CE0424">
      <w:pPr>
        <w:pStyle w:val="BodyText"/>
      </w:pPr>
      <w:bookmarkStart w:id="0" w:name="_Hlk127188717"/>
      <w:r>
        <w:t>T</w:t>
      </w:r>
      <w:r w:rsidR="00150866">
        <w:t xml:space="preserve">he following agreements </w:t>
      </w:r>
      <w:r w:rsidR="006015B4">
        <w:t xml:space="preserve">were </w:t>
      </w:r>
      <w:r w:rsidR="00150866">
        <w:t>reached</w:t>
      </w:r>
      <w:bookmarkEnd w:id="0"/>
      <w:r w:rsidR="00150866">
        <w:t xml:space="preserve"> for </w:t>
      </w:r>
      <w:r>
        <w:t xml:space="preserve">the </w:t>
      </w:r>
      <w:r w:rsidR="00150866">
        <w:t>objective</w:t>
      </w:r>
      <w:r>
        <w:t xml:space="preserve"> at the </w:t>
      </w:r>
      <w:r w:rsidR="007E168F">
        <w:t xml:space="preserve">last </w:t>
      </w:r>
      <w:r>
        <w:t>meeting.</w:t>
      </w:r>
    </w:p>
    <w:p w14:paraId="591862F9" w14:textId="69B3975B" w:rsidR="00A920A7" w:rsidRDefault="00600FB3" w:rsidP="00B50FF9">
      <w:pPr>
        <w:pStyle w:val="BodyText"/>
        <w:rPr>
          <w:u w:val="single"/>
        </w:rPr>
      </w:pPr>
      <w:r w:rsidRPr="006F1FF2">
        <w:rPr>
          <w:u w:val="single"/>
        </w:rPr>
        <w:t>RAN2#12</w:t>
      </w:r>
      <w:r w:rsidR="00E15C76">
        <w:rPr>
          <w:u w:val="single"/>
        </w:rPr>
        <w:t>3</w:t>
      </w:r>
      <w:r>
        <w:rPr>
          <w:u w:val="single"/>
        </w:rPr>
        <w:t>:</w:t>
      </w:r>
    </w:p>
    <w:p w14:paraId="2DCA08C6" w14:textId="77777777" w:rsidR="00E15C76" w:rsidRDefault="00E15C76" w:rsidP="00D26874">
      <w:pPr>
        <w:pStyle w:val="Agreement"/>
        <w:tabs>
          <w:tab w:val="clear" w:pos="1494"/>
          <w:tab w:val="num" w:pos="851"/>
        </w:tabs>
        <w:ind w:left="851" w:hanging="284"/>
        <w:rPr>
          <w:lang w:val="en-US"/>
        </w:rPr>
      </w:pPr>
      <w:bookmarkStart w:id="1" w:name="OLE_LINK102"/>
      <w:bookmarkStart w:id="2" w:name="OLE_LINK103"/>
      <w:r>
        <w:rPr>
          <w:lang w:val="en-US"/>
        </w:rPr>
        <w:t>For subsequent CPAC it is useful to support use of A3 A5</w:t>
      </w:r>
    </w:p>
    <w:p w14:paraId="58DDDE89" w14:textId="7724929A" w:rsidR="00E15C76" w:rsidRPr="00E15C76" w:rsidRDefault="00E15C76" w:rsidP="00D26874">
      <w:pPr>
        <w:pStyle w:val="Agreement"/>
        <w:tabs>
          <w:tab w:val="clear" w:pos="1494"/>
          <w:tab w:val="num" w:pos="851"/>
        </w:tabs>
        <w:ind w:left="851" w:hanging="284"/>
        <w:rPr>
          <w:lang w:val="en-US"/>
        </w:rPr>
      </w:pPr>
      <w:r>
        <w:rPr>
          <w:lang w:val="en-US"/>
        </w:rPr>
        <w:t xml:space="preserve">A3 A5 is supported with SN-initiated subsequent </w:t>
      </w:r>
      <w:proofErr w:type="gramStart"/>
      <w:r>
        <w:rPr>
          <w:lang w:val="en-US"/>
        </w:rPr>
        <w:t>CPAC</w:t>
      </w:r>
      <w:proofErr w:type="gramEnd"/>
    </w:p>
    <w:bookmarkEnd w:id="1"/>
    <w:bookmarkEnd w:id="2"/>
    <w:p w14:paraId="22531FDC" w14:textId="348260C7" w:rsidR="00E15C76" w:rsidRPr="00D26874" w:rsidRDefault="00E15C76" w:rsidP="00D26874">
      <w:pPr>
        <w:pStyle w:val="Agreement"/>
        <w:tabs>
          <w:tab w:val="clear" w:pos="1494"/>
          <w:tab w:val="num" w:pos="851"/>
        </w:tabs>
        <w:ind w:left="851" w:hanging="284"/>
      </w:pPr>
      <w:r>
        <w:t xml:space="preserve">For MN-initiated subsequent </w:t>
      </w:r>
      <w:proofErr w:type="gramStart"/>
      <w:r>
        <w:t>CPAC,  MN</w:t>
      </w:r>
      <w:proofErr w:type="gramEnd"/>
      <w:r>
        <w:t xml:space="preserve"> initially triggers the candidate cell preparation of subsequent CPAC procedure, i.e. MN triggers the procedure as defined in Section 10.5.2 and Section 10.2.2 of TS 37.340 in the endorsed running CR.</w:t>
      </w:r>
    </w:p>
    <w:p w14:paraId="3715AFE1" w14:textId="2BC5C377" w:rsidR="00E15C76" w:rsidRDefault="00E15C76" w:rsidP="00D26874">
      <w:pPr>
        <w:pStyle w:val="Agreement"/>
        <w:tabs>
          <w:tab w:val="clear" w:pos="1494"/>
          <w:tab w:val="num" w:pos="851"/>
        </w:tabs>
        <w:ind w:left="851" w:hanging="284"/>
      </w:pPr>
      <w:r>
        <w:t xml:space="preserve">For SN-initiated inter-SN subsequent CPAC, SN initially triggers the candidate cell preparation of subsequent CPAC procedure, </w:t>
      </w:r>
      <w:proofErr w:type="gramStart"/>
      <w:r>
        <w:t>i.e.</w:t>
      </w:r>
      <w:proofErr w:type="gramEnd"/>
      <w:r>
        <w:t xml:space="preserve"> source SN triggers the procedure as defined in Section 10.5.2 of TS 37.340 in the endorsed running CR.</w:t>
      </w:r>
    </w:p>
    <w:p w14:paraId="56091930" w14:textId="77777777" w:rsidR="00E15C76" w:rsidRDefault="00E15C76" w:rsidP="00D26874">
      <w:pPr>
        <w:pStyle w:val="Agreement"/>
        <w:tabs>
          <w:tab w:val="clear" w:pos="1494"/>
          <w:tab w:val="num" w:pos="851"/>
        </w:tabs>
        <w:ind w:left="851" w:hanging="284"/>
      </w:pPr>
      <w:r>
        <w:rPr>
          <w:bCs/>
        </w:rPr>
        <w:t xml:space="preserve"> </w:t>
      </w:r>
      <w:r>
        <w:t>For MN-initiated subsequent CPAC, the execution condition configuration is provided as following:</w:t>
      </w:r>
    </w:p>
    <w:p w14:paraId="36182719" w14:textId="77777777" w:rsidR="00E15C76" w:rsidRDefault="00E15C76" w:rsidP="00D26874">
      <w:pPr>
        <w:pStyle w:val="Agreement"/>
        <w:numPr>
          <w:ilvl w:val="0"/>
          <w:numId w:val="0"/>
        </w:numPr>
        <w:tabs>
          <w:tab w:val="num" w:pos="851"/>
        </w:tabs>
        <w:ind w:left="851"/>
      </w:pPr>
      <w:r>
        <w:t xml:space="preserve">MN generates the execution conditions (A4 event) for initial CPAC execution, and the </w:t>
      </w:r>
      <w:proofErr w:type="spellStart"/>
      <w:r>
        <w:t>measID</w:t>
      </w:r>
      <w:proofErr w:type="spellEnd"/>
      <w:r>
        <w:t xml:space="preserve"> refers to the measurement configuration associated with </w:t>
      </w:r>
      <w:proofErr w:type="gramStart"/>
      <w:r>
        <w:t>MCG;</w:t>
      </w:r>
      <w:proofErr w:type="gramEnd"/>
    </w:p>
    <w:p w14:paraId="499AF3AC" w14:textId="6B4ABA9B" w:rsidR="00E15C76" w:rsidRPr="000B6607" w:rsidRDefault="00E15C76" w:rsidP="00D26874">
      <w:pPr>
        <w:pStyle w:val="Agreement"/>
        <w:numPr>
          <w:ilvl w:val="0"/>
          <w:numId w:val="0"/>
        </w:numPr>
        <w:tabs>
          <w:tab w:val="num" w:pos="851"/>
        </w:tabs>
        <w:ind w:left="851"/>
      </w:pPr>
      <w:r>
        <w:t xml:space="preserve">candidate SN generates the execution conditions (A3/A5 </w:t>
      </w:r>
      <w:proofErr w:type="gramStart"/>
      <w:r>
        <w:t>event)  for</w:t>
      </w:r>
      <w:proofErr w:type="gramEnd"/>
      <w:r>
        <w:t xml:space="preserve"> subsequent CPC execution, and the </w:t>
      </w:r>
      <w:proofErr w:type="spellStart"/>
      <w:r>
        <w:t>measID</w:t>
      </w:r>
      <w:proofErr w:type="spellEnd"/>
      <w:r>
        <w:t xml:space="preserve"> refers to the measurement configuration associated with SCG.</w:t>
      </w:r>
    </w:p>
    <w:p w14:paraId="5882D770" w14:textId="77777777" w:rsidR="00E15C76" w:rsidRDefault="00E15C76" w:rsidP="00D26874">
      <w:pPr>
        <w:pStyle w:val="Agreement"/>
        <w:tabs>
          <w:tab w:val="clear" w:pos="1494"/>
          <w:tab w:val="num" w:pos="851"/>
        </w:tabs>
        <w:ind w:left="851" w:hanging="284"/>
        <w:rPr>
          <w:lang w:val="en-US"/>
        </w:rPr>
      </w:pPr>
      <w:r>
        <w:rPr>
          <w:lang w:val="en-US"/>
        </w:rPr>
        <w:t>UE autonomously releases the subsequent CPAC configurations in the following cases: upon RRC re-establishment and RRC release (to RRC_IDLE and/or RRC_INACTIVE)</w:t>
      </w:r>
    </w:p>
    <w:p w14:paraId="5D01C338" w14:textId="31B3592B" w:rsidR="00E15C76" w:rsidRPr="00D26874" w:rsidRDefault="00E15C76" w:rsidP="00D26874">
      <w:pPr>
        <w:pStyle w:val="Agreement"/>
        <w:tabs>
          <w:tab w:val="clear" w:pos="1494"/>
          <w:tab w:val="num" w:pos="851"/>
        </w:tabs>
        <w:ind w:left="851" w:hanging="284"/>
        <w:rPr>
          <w:lang w:val="en-US"/>
        </w:rPr>
      </w:pPr>
      <w:r>
        <w:rPr>
          <w:lang w:val="en-US"/>
        </w:rPr>
        <w:t xml:space="preserve">No need for an optimized single-indication-release of CPAC configuration. Can rely on explicit release for other cases. </w:t>
      </w:r>
    </w:p>
    <w:p w14:paraId="27AB2D3D" w14:textId="77777777" w:rsidR="00E15C76" w:rsidRDefault="00E15C76" w:rsidP="00D26874">
      <w:pPr>
        <w:pStyle w:val="Agreement"/>
        <w:tabs>
          <w:tab w:val="clear" w:pos="1494"/>
          <w:tab w:val="num" w:pos="851"/>
          <w:tab w:val="num" w:pos="3620"/>
        </w:tabs>
        <w:ind w:left="851" w:hanging="284"/>
        <w:rPr>
          <w:lang w:val="en-US"/>
        </w:r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16DC0D0F" w14:textId="77777777" w:rsidR="00E15C76" w:rsidRPr="00F738C4" w:rsidRDefault="00E15C76" w:rsidP="00B50FF9">
      <w:pPr>
        <w:pStyle w:val="BodyText"/>
        <w:rPr>
          <w:lang w:val="en-US"/>
        </w:rPr>
      </w:pPr>
    </w:p>
    <w:p w14:paraId="4BB0ADAB" w14:textId="1E421D99" w:rsidR="00F64376" w:rsidRDefault="00F64376" w:rsidP="00CE0424">
      <w:pPr>
        <w:pStyle w:val="BodyText"/>
      </w:pPr>
      <w:r>
        <w:t xml:space="preserve">In this contribution we discuss different aspects and open issues for objective 2 in the WID on </w:t>
      </w:r>
      <w:r w:rsidR="0045106C">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59E13DC4" w14:textId="3DC56BBD" w:rsidR="004000E8" w:rsidRDefault="00230D18" w:rsidP="00CE0424">
      <w:pPr>
        <w:pStyle w:val="Heading1"/>
      </w:pPr>
      <w:bookmarkStart w:id="3" w:name="_Ref178064866"/>
      <w:r w:rsidRPr="009C6E11">
        <w:lastRenderedPageBreak/>
        <w:t>2</w:t>
      </w:r>
      <w:r w:rsidRPr="009C6E11">
        <w:tab/>
      </w:r>
      <w:r w:rsidR="004000E8" w:rsidRPr="009C6E11">
        <w:t>Discussion</w:t>
      </w:r>
      <w:bookmarkEnd w:id="3"/>
    </w:p>
    <w:p w14:paraId="4A28246B" w14:textId="3BDF6B1D" w:rsidR="00FE122E" w:rsidRDefault="00FE122E" w:rsidP="00FE122E">
      <w:pPr>
        <w:pStyle w:val="Heading2"/>
      </w:pPr>
      <w:r w:rsidRPr="00530895">
        <w:t>2.</w:t>
      </w:r>
      <w:r w:rsidR="005411B7" w:rsidRPr="00530895">
        <w:t>1</w:t>
      </w:r>
      <w:r w:rsidRPr="00530895">
        <w:tab/>
      </w:r>
      <w:r w:rsidR="00C2770A">
        <w:t>Handling of subsequent CPAC configurations at execution</w:t>
      </w:r>
    </w:p>
    <w:p w14:paraId="375C780D" w14:textId="2E67C01B" w:rsidR="001131AC" w:rsidRDefault="004B5031" w:rsidP="00070B21">
      <w:pPr>
        <w:pStyle w:val="BodyText"/>
      </w:pPr>
      <w:r>
        <w:t xml:space="preserve">At RAN2#122 </w:t>
      </w:r>
      <w:r w:rsidR="00115738">
        <w:t xml:space="preserve">and RAN2#123 it has been </w:t>
      </w:r>
      <w:r>
        <w:t>agreed that</w:t>
      </w:r>
      <w:r w:rsidR="004C10AF">
        <w:t xml:space="preserve"> the</w:t>
      </w:r>
      <w:r w:rsidR="004C10AF" w:rsidRPr="004C10AF">
        <w:t xml:space="preserve"> candidate SN generates </w:t>
      </w:r>
      <w:r w:rsidR="007E168F">
        <w:t xml:space="preserve">the </w:t>
      </w:r>
      <w:r w:rsidR="004C10AF" w:rsidRPr="004C10AF">
        <w:t>execution conditions for subsequent CPC</w:t>
      </w:r>
      <w:r w:rsidR="004C10AF">
        <w:t xml:space="preserve"> in case of </w:t>
      </w:r>
      <w:r w:rsidR="004C10AF" w:rsidRPr="004C10AF">
        <w:t xml:space="preserve">SN-initiated </w:t>
      </w:r>
      <w:r w:rsidR="00115738">
        <w:t>s</w:t>
      </w:r>
      <w:r w:rsidR="00783C38" w:rsidRPr="00783C38">
        <w:t>ubsequent CPAC</w:t>
      </w:r>
      <w:r w:rsidR="00115738">
        <w:t xml:space="preserve"> and MN-initiated subsequent CPAC, respectively</w:t>
      </w:r>
      <w:r w:rsidR="004A648C">
        <w:t>.</w:t>
      </w:r>
    </w:p>
    <w:p w14:paraId="4BB191B5" w14:textId="77777777" w:rsidR="00314FDB" w:rsidRDefault="00314FDB" w:rsidP="00070B21">
      <w:pPr>
        <w:pStyle w:val="BodyText"/>
      </w:pPr>
      <w:r>
        <w:t>For the MN-initiated subsequent CPAC, a related question is what the UE should do with the execution conditions (</w:t>
      </w:r>
      <w:proofErr w:type="spellStart"/>
      <w:r>
        <w:t>condEvent</w:t>
      </w:r>
      <w:proofErr w:type="spellEnd"/>
      <w:r>
        <w:t xml:space="preserve"> A4) that it received with the initial configuration. The question is then mainly whether they should be kept by the UE for CPA, in case the configuration is kept at a later SCG release.</w:t>
      </w:r>
    </w:p>
    <w:p w14:paraId="39D9622D" w14:textId="517245C9" w:rsidR="00A30A3E" w:rsidRDefault="00314FDB" w:rsidP="00070B21">
      <w:pPr>
        <w:pStyle w:val="BodyText"/>
      </w:pPr>
      <w:r>
        <w:t>It has been agreed that release of the subsequent CPAC configurations at SCG release is based on explicit indications from the network. It is then straightforward that the network (the MN) also provides execution conditions for subsequent CPAC configurations that are to be kept at the SCG release. The UE does thus not need to keep the initial execution conditions for a subsequent CPAC configuration when new execution conditions have been provided by a candidate SN.</w:t>
      </w:r>
    </w:p>
    <w:p w14:paraId="0AC8D391" w14:textId="776B0D3B" w:rsidR="00314FDB" w:rsidRDefault="00314FDB" w:rsidP="007B45E4">
      <w:pPr>
        <w:pStyle w:val="Proposal"/>
      </w:pPr>
      <w:bookmarkStart w:id="4" w:name="_Toc146829483"/>
      <w:r>
        <w:t xml:space="preserve">The UE </w:t>
      </w:r>
      <w:r w:rsidR="008E6043">
        <w:t xml:space="preserve">should </w:t>
      </w:r>
      <w:r>
        <w:t>not keep the initial execution conditions for a subsequent CPAC configuration when new execution conditions</w:t>
      </w:r>
      <w:r w:rsidR="008E6043">
        <w:t>,</w:t>
      </w:r>
      <w:r>
        <w:t xml:space="preserve"> </w:t>
      </w:r>
      <w:r w:rsidR="008E6043">
        <w:t xml:space="preserve">from </w:t>
      </w:r>
      <w:r>
        <w:t>a candidate SN</w:t>
      </w:r>
      <w:r w:rsidR="008E6043">
        <w:t>, have been applied</w:t>
      </w:r>
      <w:r w:rsidRPr="00492EBD">
        <w:t>.</w:t>
      </w:r>
      <w:bookmarkEnd w:id="4"/>
    </w:p>
    <w:p w14:paraId="00FAECEC" w14:textId="1C6E9DB3" w:rsidR="00A07825" w:rsidRPr="00070B21" w:rsidRDefault="00A07825" w:rsidP="00070B21">
      <w:pPr>
        <w:pStyle w:val="BodyText"/>
      </w:pPr>
      <w:r w:rsidRPr="00070B21">
        <w:t xml:space="preserve">As the UE moves between different serving </w:t>
      </w:r>
      <w:proofErr w:type="spellStart"/>
      <w:r w:rsidRPr="00070B21">
        <w:t>PSCells</w:t>
      </w:r>
      <w:proofErr w:type="spellEnd"/>
      <w:r w:rsidRPr="00070B21">
        <w:t xml:space="preserve"> the candidate cells for CPC would typically also change. It should therefore be possible to then release candidate configurations for Subsequent CPAC</w:t>
      </w:r>
      <w:r w:rsidR="005723B5" w:rsidRPr="00070B21">
        <w:t xml:space="preserve">. It should therefore be indicated in </w:t>
      </w:r>
      <w:proofErr w:type="spellStart"/>
      <w:r w:rsidR="005723B5" w:rsidRPr="00070B21">
        <w:rPr>
          <w:i/>
          <w:iCs/>
        </w:rPr>
        <w:t>CondReconfigToAddMod</w:t>
      </w:r>
      <w:proofErr w:type="spellEnd"/>
      <w:r w:rsidR="005723B5" w:rsidRPr="00070B21">
        <w:t>, in the Rel-18 configuration for subsequent CPC, which other subsequent CPAC configurations that are to be kept or released.</w:t>
      </w:r>
    </w:p>
    <w:p w14:paraId="6D50783F" w14:textId="3785CC57" w:rsidR="00A07825" w:rsidRPr="00070B21" w:rsidRDefault="00A07825" w:rsidP="00070B21">
      <w:pPr>
        <w:pStyle w:val="BodyText"/>
      </w:pPr>
      <w:r w:rsidRPr="00070B21">
        <w:t xml:space="preserve">There may then also be some candidate </w:t>
      </w:r>
      <w:proofErr w:type="spellStart"/>
      <w:r w:rsidRPr="00070B21">
        <w:t>PSCells</w:t>
      </w:r>
      <w:proofErr w:type="spellEnd"/>
      <w:r w:rsidRPr="00070B21">
        <w:t xml:space="preserve"> that are not relevant candidates in the specific </w:t>
      </w:r>
      <w:proofErr w:type="spellStart"/>
      <w:r w:rsidRPr="00070B21">
        <w:t>PSCell</w:t>
      </w:r>
      <w:proofErr w:type="spellEnd"/>
      <w:r w:rsidRPr="00070B21">
        <w:t xml:space="preserve"> where the UE is currently located, but that are likely to be relevant candidates in case the UE </w:t>
      </w:r>
      <w:proofErr w:type="gramStart"/>
      <w:r w:rsidR="000410C7" w:rsidRPr="00070B21">
        <w:t>later on</w:t>
      </w:r>
      <w:proofErr w:type="gramEnd"/>
      <w:r w:rsidR="000410C7" w:rsidRPr="00070B21">
        <w:t xml:space="preserve"> moves to another </w:t>
      </w:r>
      <w:proofErr w:type="spellStart"/>
      <w:r w:rsidR="000410C7" w:rsidRPr="00070B21">
        <w:t>PSCell</w:t>
      </w:r>
      <w:proofErr w:type="spellEnd"/>
      <w:r w:rsidRPr="00070B21">
        <w:t xml:space="preserve">. </w:t>
      </w:r>
      <w:r w:rsidR="000410C7" w:rsidRPr="00070B21">
        <w:t>I</w:t>
      </w:r>
      <w:r w:rsidRPr="00070B21">
        <w:t xml:space="preserve">t would </w:t>
      </w:r>
      <w:r w:rsidR="000410C7" w:rsidRPr="00070B21">
        <w:t xml:space="preserve">then be </w:t>
      </w:r>
      <w:r w:rsidRPr="00070B21">
        <w:t xml:space="preserve">preferable to </w:t>
      </w:r>
      <w:r w:rsidR="000410C7" w:rsidRPr="00070B21">
        <w:t xml:space="preserve">let the UE </w:t>
      </w:r>
      <w:r w:rsidRPr="00070B21">
        <w:t>keep those candidate configurations</w:t>
      </w:r>
      <w:r w:rsidR="000410C7" w:rsidRPr="00070B21">
        <w:t>,</w:t>
      </w:r>
      <w:r w:rsidRPr="00070B21">
        <w:t xml:space="preserve"> to avoid the need to reconfigure them again soon afterwards</w:t>
      </w:r>
      <w:r w:rsidR="000410C7" w:rsidRPr="00070B21">
        <w:t xml:space="preserve">, but </w:t>
      </w:r>
      <w:r w:rsidRPr="00070B21">
        <w:t xml:space="preserve">to </w:t>
      </w:r>
      <w:r w:rsidR="000410C7" w:rsidRPr="00070B21">
        <w:t xml:space="preserve">skip </w:t>
      </w:r>
      <w:r w:rsidRPr="00070B21">
        <w:t>perform</w:t>
      </w:r>
      <w:r w:rsidR="000410C7" w:rsidRPr="00070B21">
        <w:t>ing</w:t>
      </w:r>
      <w:r w:rsidRPr="00070B21">
        <w:t xml:space="preserve"> measurements and evaluation for </w:t>
      </w:r>
      <w:r w:rsidR="000410C7" w:rsidRPr="00070B21">
        <w:t xml:space="preserve">them where </w:t>
      </w:r>
      <w:r w:rsidRPr="00070B21">
        <w:t xml:space="preserve">it </w:t>
      </w:r>
      <w:r w:rsidR="000410C7" w:rsidRPr="00070B21">
        <w:t xml:space="preserve">they are </w:t>
      </w:r>
      <w:r w:rsidRPr="00070B21">
        <w:t>not considered relevant</w:t>
      </w:r>
      <w:r w:rsidR="000410C7" w:rsidRPr="00070B21">
        <w:t xml:space="preserve">. It </w:t>
      </w:r>
      <w:r w:rsidRPr="00070B21">
        <w:t xml:space="preserve">should </w:t>
      </w:r>
      <w:r w:rsidR="000410C7" w:rsidRPr="00070B21">
        <w:t xml:space="preserve">therefore </w:t>
      </w:r>
      <w:r w:rsidRPr="00070B21">
        <w:t xml:space="preserve">be possible for the network to indicate that a candidate configuration is not </w:t>
      </w:r>
      <w:proofErr w:type="gramStart"/>
      <w:r w:rsidRPr="00070B21">
        <w:t>applicable</w:t>
      </w:r>
      <w:proofErr w:type="gramEnd"/>
      <w:r w:rsidR="000410C7" w:rsidRPr="00070B21">
        <w:t xml:space="preserve"> and that the UE does then not perform any </w:t>
      </w:r>
      <w:r w:rsidRPr="00070B21">
        <w:t>evaluat</w:t>
      </w:r>
      <w:r w:rsidR="000410C7" w:rsidRPr="00070B21">
        <w:t>ion of it</w:t>
      </w:r>
      <w:r w:rsidRPr="00070B21">
        <w:t>.</w:t>
      </w:r>
    </w:p>
    <w:p w14:paraId="03FCC7A3" w14:textId="5443B916" w:rsidR="006015B4" w:rsidRPr="00F05220" w:rsidRDefault="00A07825" w:rsidP="00070B21">
      <w:pPr>
        <w:pStyle w:val="BodyText"/>
      </w:pPr>
      <w:proofErr w:type="gramStart"/>
      <w:r w:rsidRPr="00070B21">
        <w:t>Similar to</w:t>
      </w:r>
      <w:proofErr w:type="gramEnd"/>
      <w:r w:rsidRPr="00070B21">
        <w:t xml:space="preserve"> the indication of execution conditions for subsequent CPC </w:t>
      </w:r>
      <w:r w:rsidR="005723B5" w:rsidRPr="00070B21">
        <w:t xml:space="preserve">and indications about which configurations to keep or release, </w:t>
      </w:r>
      <w:r w:rsidRPr="00070B21">
        <w:t xml:space="preserve">as discussed above, also </w:t>
      </w:r>
      <w:r w:rsidR="005723B5" w:rsidRPr="00070B21">
        <w:t xml:space="preserve">information whether a kept configuration is to </w:t>
      </w:r>
      <w:r w:rsidRPr="00070B21">
        <w:t xml:space="preserve">be considered as applicable or not, should </w:t>
      </w:r>
      <w:r w:rsidR="005723B5" w:rsidRPr="00070B21">
        <w:t xml:space="preserve">then </w:t>
      </w:r>
      <w:r w:rsidRPr="00070B21">
        <w:t xml:space="preserve">also be included in </w:t>
      </w:r>
      <w:proofErr w:type="spellStart"/>
      <w:r w:rsidRPr="00070B21">
        <w:rPr>
          <w:i/>
          <w:iCs/>
        </w:rPr>
        <w:t>CondReconfigToAddMod</w:t>
      </w:r>
      <w:proofErr w:type="spellEnd"/>
      <w:r w:rsidRPr="00F05220">
        <w:t>.</w:t>
      </w:r>
    </w:p>
    <w:p w14:paraId="60705C14" w14:textId="6936CF5E" w:rsidR="005C4499" w:rsidRPr="00F05220" w:rsidRDefault="005C4499" w:rsidP="005C4499">
      <w:pPr>
        <w:pStyle w:val="Proposal"/>
      </w:pPr>
      <w:bookmarkStart w:id="5" w:name="_Toc134532428"/>
      <w:bookmarkStart w:id="6" w:name="_Toc146829484"/>
      <w:r w:rsidRPr="00F05220">
        <w:t xml:space="preserve">The network </w:t>
      </w:r>
      <w:r w:rsidR="00E04F9C" w:rsidRPr="00F05220">
        <w:t>should</w:t>
      </w:r>
      <w:r w:rsidRPr="00F05220">
        <w:t xml:space="preserve">, in </w:t>
      </w:r>
      <w:proofErr w:type="spellStart"/>
      <w:r w:rsidRPr="00F05220">
        <w:rPr>
          <w:i/>
          <w:iCs/>
        </w:rPr>
        <w:t>CondReconfigToAddMod</w:t>
      </w:r>
      <w:proofErr w:type="spellEnd"/>
      <w:r w:rsidRPr="00F05220">
        <w:t xml:space="preserve">, </w:t>
      </w:r>
      <w:r w:rsidR="00E04F9C" w:rsidRPr="00F05220">
        <w:t xml:space="preserve">be able to </w:t>
      </w:r>
      <w:r w:rsidRPr="00F05220">
        <w:t xml:space="preserve">indicate whether the UE should keep or release the other stored candidate configurations </w:t>
      </w:r>
      <w:r w:rsidR="00E04F9C" w:rsidRPr="00F05220">
        <w:t>for subsequent CPC</w:t>
      </w:r>
      <w:r w:rsidRPr="00F05220">
        <w:t>.</w:t>
      </w:r>
      <w:bookmarkEnd w:id="5"/>
      <w:bookmarkEnd w:id="6"/>
    </w:p>
    <w:p w14:paraId="1F62665A" w14:textId="021F882F" w:rsidR="00796FFD" w:rsidRPr="00070B21" w:rsidRDefault="00E04F9C" w:rsidP="00796FFD">
      <w:pPr>
        <w:pStyle w:val="Proposal"/>
      </w:pPr>
      <w:bookmarkStart w:id="7" w:name="_Toc134532429"/>
      <w:bookmarkStart w:id="8" w:name="_Toc146829485"/>
      <w:r w:rsidRPr="00F05220">
        <w:t xml:space="preserve">It should be possible for the network to </w:t>
      </w:r>
      <w:r w:rsidR="005C4499" w:rsidRPr="00F05220">
        <w:t xml:space="preserve">indicate that </w:t>
      </w:r>
      <w:r w:rsidRPr="00F05220">
        <w:t xml:space="preserve">a </w:t>
      </w:r>
      <w:r w:rsidR="005C4499" w:rsidRPr="00F05220">
        <w:t xml:space="preserve">candidate configuration </w:t>
      </w:r>
      <w:r w:rsidRPr="00F05220">
        <w:t xml:space="preserve">that is kept </w:t>
      </w:r>
      <w:r w:rsidR="005C4499" w:rsidRPr="00F05220">
        <w:t>should be considered as not applicable. A not applicable candidate configuration should not be evaluated by the UE.</w:t>
      </w:r>
      <w:bookmarkEnd w:id="7"/>
      <w:bookmarkEnd w:id="8"/>
    </w:p>
    <w:p w14:paraId="2467DC3E" w14:textId="32EB5639" w:rsidR="0045106C" w:rsidRDefault="0045106C" w:rsidP="0045106C">
      <w:pPr>
        <w:pStyle w:val="Heading2"/>
      </w:pPr>
      <w:r>
        <w:t>2.</w:t>
      </w:r>
      <w:r w:rsidR="005C4499">
        <w:t>2</w:t>
      </w:r>
      <w:r>
        <w:tab/>
        <w:t xml:space="preserve">Intra-SN and inter-SN </w:t>
      </w:r>
      <w:r w:rsidR="002F04F8">
        <w:t xml:space="preserve">subsequent </w:t>
      </w:r>
      <w:r>
        <w:t>CP</w:t>
      </w:r>
      <w:r w:rsidR="002F04F8">
        <w:t>A</w:t>
      </w:r>
      <w:r>
        <w:t>C configurations</w:t>
      </w:r>
    </w:p>
    <w:p w14:paraId="0CC49CD9" w14:textId="3ACDDAB5" w:rsidR="00D444A8" w:rsidRDefault="00D444A8" w:rsidP="00070B21">
      <w:pPr>
        <w:pStyle w:val="BodyText"/>
      </w:pPr>
      <w:r>
        <w:t xml:space="preserve">Both intra-SN and inter-SN CPC configurations are assumed to be supported for </w:t>
      </w:r>
      <w:r w:rsidR="000D47F9">
        <w:t>Subsequent CPAC</w:t>
      </w:r>
      <w:r>
        <w:t>. At RAN2#121bis it was agreed that inter-SN CPC configurations are in MN format:</w:t>
      </w:r>
    </w:p>
    <w:p w14:paraId="6DC1FB62" w14:textId="77777777" w:rsidR="00D444A8" w:rsidRDefault="00D444A8" w:rsidP="00D444A8">
      <w:pPr>
        <w:pStyle w:val="Agreement"/>
        <w:tabs>
          <w:tab w:val="clear" w:pos="1494"/>
          <w:tab w:val="num" w:pos="927"/>
        </w:tabs>
        <w:ind w:left="927"/>
      </w:pPr>
      <w:r>
        <w:t xml:space="preserve">For inter-SN SCG Selective Activation, the RRC reconfiguration message containing the Rel-18 CPC configurations provided to the UE is in MN format. </w:t>
      </w:r>
    </w:p>
    <w:p w14:paraId="45D5D48A" w14:textId="77777777" w:rsidR="00D444A8" w:rsidRDefault="00D444A8" w:rsidP="00D444A8"/>
    <w:p w14:paraId="37478860" w14:textId="77777777" w:rsidR="00D444A8" w:rsidRPr="00070B21" w:rsidRDefault="00D444A8" w:rsidP="00070B21">
      <w:pPr>
        <w:pStyle w:val="BodyText"/>
      </w:pPr>
      <w:r w:rsidRPr="00070B21">
        <w:t xml:space="preserve">A question is then however what format to use for intra-SN configurations. The existing Rel-16 intra-SN CPC configurations are in SN format and can thus not be used by the UE when moving to another SN. They need to be released at least when performing an inter-SN </w:t>
      </w:r>
      <w:proofErr w:type="spellStart"/>
      <w:r w:rsidRPr="00070B21">
        <w:t>PSCell</w:t>
      </w:r>
      <w:proofErr w:type="spellEnd"/>
      <w:r w:rsidRPr="00070B21">
        <w:t xml:space="preserve"> change.</w:t>
      </w:r>
    </w:p>
    <w:p w14:paraId="2DEB6DA1" w14:textId="7A469DD6" w:rsidR="00D444A8" w:rsidRDefault="00D444A8" w:rsidP="00D444A8">
      <w:pPr>
        <w:pStyle w:val="Observation"/>
      </w:pPr>
      <w:bookmarkStart w:id="9" w:name="_Toc134530056"/>
      <w:bookmarkStart w:id="10" w:name="_Toc146829480"/>
      <w:r>
        <w:t xml:space="preserve">An intra-SN CPC configuration in SN format cannot be used after an inter-SN </w:t>
      </w:r>
      <w:proofErr w:type="spellStart"/>
      <w:r>
        <w:t>PSCell</w:t>
      </w:r>
      <w:proofErr w:type="spellEnd"/>
      <w:r>
        <w:t xml:space="preserve"> change.</w:t>
      </w:r>
      <w:bookmarkEnd w:id="9"/>
      <w:bookmarkEnd w:id="10"/>
    </w:p>
    <w:p w14:paraId="27500574" w14:textId="24A5BCF5" w:rsidR="00512545" w:rsidRDefault="00C70057" w:rsidP="00070B21">
      <w:pPr>
        <w:pStyle w:val="BodyText"/>
      </w:pPr>
      <w:r>
        <w:t xml:space="preserve">There has been some discussion on whether co-existence of intra-SN and inter-SN subsequent CPAC should be supported. However, the discussion has mainly concerned whether intra-SN (in SN format) and inter-SN (in MN format) can be configured at the same time. It has not addressed how </w:t>
      </w:r>
      <w:r w:rsidR="00316603">
        <w:t xml:space="preserve">the UE can have </w:t>
      </w:r>
      <w:r>
        <w:t xml:space="preserve">a subsequent CPAC </w:t>
      </w:r>
      <w:r w:rsidR="00316603">
        <w:t xml:space="preserve">configuration </w:t>
      </w:r>
      <w:r>
        <w:t xml:space="preserve">that can be </w:t>
      </w:r>
      <w:r w:rsidR="00316603">
        <w:t xml:space="preserve">kept </w:t>
      </w:r>
      <w:r>
        <w:t xml:space="preserve">when the UE moves between SNs and where the candidate target </w:t>
      </w:r>
      <w:proofErr w:type="spellStart"/>
      <w:r>
        <w:t>PSCell</w:t>
      </w:r>
      <w:proofErr w:type="spellEnd"/>
      <w:r>
        <w:t xml:space="preserve"> </w:t>
      </w:r>
      <w:r>
        <w:lastRenderedPageBreak/>
        <w:t xml:space="preserve">sometimes belong to the same SN as the current serving </w:t>
      </w:r>
      <w:proofErr w:type="spellStart"/>
      <w:r>
        <w:t>PSCell</w:t>
      </w:r>
      <w:proofErr w:type="spellEnd"/>
      <w:r>
        <w:t xml:space="preserve"> and sometimes to a different SN</w:t>
      </w:r>
      <w:r w:rsidR="00316603">
        <w:t>. To enable this there is then a need to support that the MN format can be used also for configuration of intra-SN subsequent CPAC.</w:t>
      </w:r>
      <w:r>
        <w:t xml:space="preserve"> </w:t>
      </w:r>
      <w:r w:rsidR="00316603">
        <w:t xml:space="preserve">It should thus be supported, for </w:t>
      </w:r>
      <w:r w:rsidR="0095117C">
        <w:t>subsequent CPAC</w:t>
      </w:r>
      <w:r w:rsidR="00316603">
        <w:t>,</w:t>
      </w:r>
      <w:r w:rsidR="0095117C">
        <w:t xml:space="preserve"> to configure CPC for intra-SN candidate target </w:t>
      </w:r>
      <w:proofErr w:type="spellStart"/>
      <w:r w:rsidR="0095117C">
        <w:t>PSCells</w:t>
      </w:r>
      <w:proofErr w:type="spellEnd"/>
      <w:r w:rsidR="0095117C">
        <w:t xml:space="preserve"> using MN format.</w:t>
      </w:r>
    </w:p>
    <w:p w14:paraId="21C4DBE3" w14:textId="131C45CD" w:rsidR="008D6B14" w:rsidRDefault="008D6B14" w:rsidP="008D6B14">
      <w:pPr>
        <w:pStyle w:val="Observation"/>
      </w:pPr>
      <w:bookmarkStart w:id="11" w:name="_Toc146829481"/>
      <w:r>
        <w:t xml:space="preserve">To support inter-SN subsequent CPAC, it needs to be supported that the candidate target </w:t>
      </w:r>
      <w:proofErr w:type="spellStart"/>
      <w:r>
        <w:t>PSCell</w:t>
      </w:r>
      <w:proofErr w:type="spellEnd"/>
      <w:r>
        <w:t xml:space="preserve"> of a subsequent CPAC configuration is in another SN or in the same SN as the current </w:t>
      </w:r>
      <w:proofErr w:type="spellStart"/>
      <w:r>
        <w:t>PSCell</w:t>
      </w:r>
      <w:proofErr w:type="spellEnd"/>
      <w:r>
        <w:t>.</w:t>
      </w:r>
      <w:bookmarkEnd w:id="11"/>
    </w:p>
    <w:p w14:paraId="5DEF6B80" w14:textId="71DEB087" w:rsidR="00F10ED2" w:rsidRDefault="00310687" w:rsidP="009A0B11">
      <w:pPr>
        <w:pStyle w:val="Proposal"/>
      </w:pPr>
      <w:bookmarkStart w:id="12" w:name="_Toc134532431"/>
      <w:bookmarkStart w:id="13" w:name="_Toc146829486"/>
      <w:r>
        <w:t>It should be supported to configure s</w:t>
      </w:r>
      <w:r w:rsidR="000D47F9">
        <w:t>ubsequent CPAC</w:t>
      </w:r>
      <w:r>
        <w:t xml:space="preserve"> </w:t>
      </w:r>
      <w:r w:rsidR="00D444A8" w:rsidRPr="00492EBD">
        <w:t xml:space="preserve">for an intra-SN candidate target </w:t>
      </w:r>
      <w:proofErr w:type="spellStart"/>
      <w:r w:rsidR="00D444A8" w:rsidRPr="00492EBD">
        <w:t>PSCell</w:t>
      </w:r>
      <w:proofErr w:type="spellEnd"/>
      <w:r w:rsidR="00D444A8" w:rsidRPr="00492EBD">
        <w:t xml:space="preserve"> in MN format.</w:t>
      </w:r>
      <w:bookmarkEnd w:id="12"/>
      <w:bookmarkEnd w:id="13"/>
    </w:p>
    <w:p w14:paraId="3BC0C9CE" w14:textId="7365C34A" w:rsidR="00F43477" w:rsidRPr="006F2DB7" w:rsidRDefault="00F43477" w:rsidP="00F43477">
      <w:pPr>
        <w:pStyle w:val="Heading2"/>
      </w:pPr>
      <w:r w:rsidRPr="006F2DB7">
        <w:t>2.</w:t>
      </w:r>
      <w:r w:rsidR="005C4499">
        <w:t>4</w:t>
      </w:r>
      <w:r w:rsidRPr="006F2DB7">
        <w:tab/>
        <w:t>Support for delta and reference configurations</w:t>
      </w:r>
    </w:p>
    <w:p w14:paraId="0A6133E4" w14:textId="7F88ED29" w:rsidR="001B5EF7" w:rsidRDefault="001B5EF7" w:rsidP="00070B21">
      <w:pPr>
        <w:pStyle w:val="BodyText"/>
      </w:pPr>
      <w:r>
        <w:t xml:space="preserve">For LTM it has been agreed to introduce a UE capability for support of the reference configuration and the reference configuration is thus optional to use for LTM. The same should be clarified for subsequent CPAC, </w:t>
      </w:r>
      <w:proofErr w:type="gramStart"/>
      <w:r>
        <w:t>i.e.</w:t>
      </w:r>
      <w:proofErr w:type="gramEnd"/>
      <w:r>
        <w:t xml:space="preserve"> that the reference configuration is optional and that it </w:t>
      </w:r>
      <w:r w:rsidR="00536A43">
        <w:t xml:space="preserve">thus </w:t>
      </w:r>
      <w:r>
        <w:t>is up to network configuration whether to use it.</w:t>
      </w:r>
    </w:p>
    <w:p w14:paraId="5AA6794E" w14:textId="3AA35246" w:rsidR="001B5EF7" w:rsidRDefault="001B5EF7" w:rsidP="00070B21">
      <w:pPr>
        <w:pStyle w:val="BodyText"/>
      </w:pPr>
      <w:r>
        <w:t xml:space="preserve">When the UE receives a </w:t>
      </w:r>
      <w:r w:rsidR="00C42C31">
        <w:t>subsequent CPAC configuration it needs to understand whether the included target configuration is a delta configuration (to be applied on top of the reference configuration) or if it is a complete configuration. The UE should then receive an indication about this with the configuration.</w:t>
      </w:r>
    </w:p>
    <w:p w14:paraId="269815E2" w14:textId="7B2B5C67" w:rsidR="00C42C31" w:rsidRDefault="00C42C31" w:rsidP="00070B21">
      <w:pPr>
        <w:pStyle w:val="BodyText"/>
      </w:pPr>
      <w:r>
        <w:t xml:space="preserve">It is assumed that both the target configuration and the reference configuration can include both an SCG part and an MCG part so that both the candidate target SNs and the MN can use delta configurations. The use of a delta configuration or a complete configuration could then, for a target configuration, be different for the two parts. The </w:t>
      </w:r>
      <w:r w:rsidR="00536A43">
        <w:t>MN should</w:t>
      </w:r>
      <w:r>
        <w:t xml:space="preserve"> </w:t>
      </w:r>
      <w:proofErr w:type="gramStart"/>
      <w:r>
        <w:t>e.g.</w:t>
      </w:r>
      <w:proofErr w:type="gramEnd"/>
      <w:r>
        <w:t xml:space="preserve"> </w:t>
      </w:r>
      <w:r w:rsidR="00536A43">
        <w:t xml:space="preserve">be able to </w:t>
      </w:r>
      <w:r>
        <w:t xml:space="preserve">decide to use a complete configuration whereas a candidate target SN </w:t>
      </w:r>
      <w:r w:rsidR="00536A43">
        <w:t xml:space="preserve">decides to </w:t>
      </w:r>
      <w:r>
        <w:t>use a delta configuration.</w:t>
      </w:r>
      <w:r w:rsidR="00536A43">
        <w:t xml:space="preserve"> The indications should therefore be separate for the two parts to avoid the need for a corresponding coordination between the MN and each candidate target SN.</w:t>
      </w:r>
    </w:p>
    <w:p w14:paraId="462C4E1B" w14:textId="51413368" w:rsidR="00D444A8" w:rsidRPr="00D46563" w:rsidRDefault="00D444A8" w:rsidP="00D444A8">
      <w:pPr>
        <w:pStyle w:val="Proposal"/>
      </w:pPr>
      <w:bookmarkStart w:id="14" w:name="_Toc127445583"/>
      <w:bookmarkStart w:id="15" w:name="_Toc134532434"/>
      <w:bookmarkStart w:id="16" w:name="_Toc146829487"/>
      <w:r w:rsidRPr="00D46563">
        <w:rPr>
          <w:rStyle w:val="ui-provider"/>
        </w:rPr>
        <w:t xml:space="preserve">The reference configuration for </w:t>
      </w:r>
      <w:r w:rsidR="000D47F9">
        <w:rPr>
          <w:rStyle w:val="ui-provider"/>
        </w:rPr>
        <w:t>Subsequent CPAC</w:t>
      </w:r>
      <w:r w:rsidR="001B5EF7">
        <w:rPr>
          <w:rStyle w:val="ui-provider"/>
        </w:rPr>
        <w:t xml:space="preserve"> </w:t>
      </w:r>
      <w:r w:rsidR="00536A43">
        <w:rPr>
          <w:rStyle w:val="ui-provider"/>
        </w:rPr>
        <w:t>should be</w:t>
      </w:r>
      <w:r w:rsidRPr="00D46563">
        <w:rPr>
          <w:rStyle w:val="ui-provider"/>
        </w:rPr>
        <w:t xml:space="preserve"> optional. </w:t>
      </w:r>
      <w:r w:rsidRPr="00D46563">
        <w:t xml:space="preserve">It is up to the network </w:t>
      </w:r>
      <w:r w:rsidR="00820D30">
        <w:t xml:space="preserve">whether </w:t>
      </w:r>
      <w:r w:rsidRPr="00D46563">
        <w:t>to provide a</w:t>
      </w:r>
      <w:r w:rsidR="001B5EF7">
        <w:t>ny</w:t>
      </w:r>
      <w:r w:rsidRPr="00D46563">
        <w:t xml:space="preserve"> reference configuration to the UE.</w:t>
      </w:r>
      <w:bookmarkEnd w:id="14"/>
      <w:bookmarkEnd w:id="15"/>
      <w:bookmarkEnd w:id="16"/>
    </w:p>
    <w:p w14:paraId="51C5016C" w14:textId="37DDBAC1" w:rsidR="002321BF" w:rsidRDefault="00D444A8" w:rsidP="009A0B11">
      <w:pPr>
        <w:pStyle w:val="Proposal"/>
      </w:pPr>
      <w:bookmarkStart w:id="17" w:name="_Toc127445586"/>
      <w:bookmarkStart w:id="18" w:name="_Toc134532435"/>
      <w:bookmarkStart w:id="19" w:name="_Toc146829488"/>
      <w:r w:rsidRPr="00D46563">
        <w:t xml:space="preserve">The UE, when receiving a candidate target cell configuration for </w:t>
      </w:r>
      <w:r w:rsidR="000D47F9">
        <w:t>Subsequent CPAC</w:t>
      </w:r>
      <w:r w:rsidRPr="00D46563">
        <w:t xml:space="preserve">, should be aware whether it is a delta configuration </w:t>
      </w:r>
      <w:r w:rsidR="00536A43">
        <w:t xml:space="preserve">(to be applied </w:t>
      </w:r>
      <w:r w:rsidRPr="00D46563">
        <w:t>on top of a reference configuration</w:t>
      </w:r>
      <w:r w:rsidR="00536A43">
        <w:t>)</w:t>
      </w:r>
      <w:r w:rsidRPr="00D46563">
        <w:t xml:space="preserve"> or if it is a </w:t>
      </w:r>
      <w:r w:rsidR="00795C71">
        <w:t>complete</w:t>
      </w:r>
      <w:r w:rsidR="00795C71" w:rsidRPr="00D46563">
        <w:t xml:space="preserve"> </w:t>
      </w:r>
      <w:r w:rsidRPr="00D46563">
        <w:t>configuration.</w:t>
      </w:r>
      <w:bookmarkEnd w:id="17"/>
      <w:bookmarkEnd w:id="18"/>
      <w:r w:rsidR="0068646B">
        <w:t xml:space="preserve"> Th</w:t>
      </w:r>
      <w:r w:rsidR="00536A43">
        <w:t>is</w:t>
      </w:r>
      <w:r w:rsidR="0068646B">
        <w:t xml:space="preserve"> </w:t>
      </w:r>
      <w:r w:rsidR="00536A43">
        <w:t xml:space="preserve">should be </w:t>
      </w:r>
      <w:r w:rsidR="0068646B">
        <w:t>indicat</w:t>
      </w:r>
      <w:r w:rsidR="00536A43">
        <w:t>ed</w:t>
      </w:r>
      <w:r w:rsidR="0068646B">
        <w:t xml:space="preserve"> separate</w:t>
      </w:r>
      <w:r w:rsidR="00536A43">
        <w:t>ly</w:t>
      </w:r>
      <w:r w:rsidR="0068646B">
        <w:t xml:space="preserve"> for the SCG </w:t>
      </w:r>
      <w:r w:rsidR="00536A43">
        <w:t xml:space="preserve">part </w:t>
      </w:r>
      <w:r w:rsidR="0068646B">
        <w:t>and the MCG</w:t>
      </w:r>
      <w:r w:rsidR="00536A43">
        <w:t xml:space="preserve"> part</w:t>
      </w:r>
      <w:r w:rsidR="00197BB0">
        <w:t xml:space="preserve"> of the configuration</w:t>
      </w:r>
      <w:r w:rsidR="0068646B">
        <w:t>.</w:t>
      </w:r>
      <w:bookmarkEnd w:id="19"/>
    </w:p>
    <w:p w14:paraId="21C824EF" w14:textId="163DB1A1" w:rsidR="00940D37" w:rsidRDefault="0022344B" w:rsidP="00070B21">
      <w:pPr>
        <w:pStyle w:val="BodyText"/>
      </w:pPr>
      <w:r>
        <w:t xml:space="preserve">From the </w:t>
      </w:r>
      <w:r w:rsidRPr="00BC0500">
        <w:t xml:space="preserve">RAN2#123 post-email discussion for </w:t>
      </w:r>
      <w:r>
        <w:t>on stage-2 issues ([</w:t>
      </w:r>
      <w:r w:rsidRPr="0022344B">
        <w:t>Post123][</w:t>
      </w:r>
      <w:proofErr w:type="gramStart"/>
      <w:r w:rsidRPr="0022344B">
        <w:t>054][</w:t>
      </w:r>
      <w:proofErr w:type="spellStart"/>
      <w:proofErr w:type="gramEnd"/>
      <w:r w:rsidRPr="0022344B">
        <w:t>feMob</w:t>
      </w:r>
      <w:proofErr w:type="spellEnd"/>
      <w:r w:rsidRPr="0022344B">
        <w:t>] Discussion on stage-2 signalling open issues</w:t>
      </w:r>
      <w:r>
        <w:t xml:space="preserve">) the </w:t>
      </w:r>
      <w:r w:rsidR="00940D37">
        <w:t xml:space="preserve">assumption is that the </w:t>
      </w:r>
      <w:r w:rsidR="00940D37" w:rsidRPr="00940D37">
        <w:t xml:space="preserve">MN generates the MCG part of the reference configuration (if any) </w:t>
      </w:r>
      <w:r w:rsidR="00940D37">
        <w:t xml:space="preserve">and an </w:t>
      </w:r>
      <w:r w:rsidR="00940D37" w:rsidRPr="00940D37">
        <w:t>SN (source or candidate) generates the SCG part of the reference configuration</w:t>
      </w:r>
      <w:r w:rsidR="00940D37">
        <w:t>. The common view is also that t</w:t>
      </w:r>
      <w:r w:rsidR="00940D37" w:rsidRPr="00940D37">
        <w:t>he MN is responsible for the reference configuration generation for MN/SN initiated inter-SN SCPAC</w:t>
      </w:r>
      <w:r w:rsidR="00940D37">
        <w:t xml:space="preserve">, </w:t>
      </w:r>
      <w:proofErr w:type="gramStart"/>
      <w:r w:rsidR="00940D37">
        <w:t>i.e.</w:t>
      </w:r>
      <w:proofErr w:type="gramEnd"/>
      <w:r w:rsidR="00940D37">
        <w:t xml:space="preserve"> for the configurations in MN format.</w:t>
      </w:r>
      <w:r w:rsidR="00940D37" w:rsidRPr="00940D37">
        <w:t xml:space="preserve"> </w:t>
      </w:r>
      <w:r w:rsidR="00940D37">
        <w:t>In the email discussion there was also a majority view on that t</w:t>
      </w:r>
      <w:r w:rsidR="00940D37" w:rsidRPr="00940D37">
        <w:t>he MN can request an SCG reference configuration from any of the involved SNs</w:t>
      </w:r>
      <w:r w:rsidR="00940D37">
        <w:t>.</w:t>
      </w:r>
    </w:p>
    <w:p w14:paraId="7F1E9534" w14:textId="02728CB4" w:rsidR="0022344B" w:rsidRDefault="00940D37" w:rsidP="00070B21">
      <w:pPr>
        <w:pStyle w:val="BodyText"/>
      </w:pPr>
      <w:r>
        <w:t xml:space="preserve">A question is however how the source SN (S-SN) should provide the reference configuration to the MN in case of SN-initiated subsequent CPAC in MN format. To avoid additional signalling between the MN and the S-SN, we think that the S-SN should provide the reference configuration already when initiating the procedure, </w:t>
      </w:r>
      <w:proofErr w:type="gramStart"/>
      <w:r>
        <w:t>i.e.</w:t>
      </w:r>
      <w:proofErr w:type="gramEnd"/>
      <w:r>
        <w:t xml:space="preserve"> with the SN CHANGE REQUIRED message.</w:t>
      </w:r>
    </w:p>
    <w:p w14:paraId="5F2E5D76" w14:textId="1F1838BE" w:rsidR="002321BF" w:rsidRDefault="00CE6B3E" w:rsidP="009A0B11">
      <w:pPr>
        <w:pStyle w:val="Proposal"/>
      </w:pPr>
      <w:bookmarkStart w:id="20" w:name="_Toc146829489"/>
      <w:r w:rsidRPr="00CE6B3E">
        <w:t>For the SN-initiated case</w:t>
      </w:r>
      <w:r>
        <w:t>,</w:t>
      </w:r>
      <w:r w:rsidRPr="00CE6B3E">
        <w:t xml:space="preserve"> the S-SN </w:t>
      </w:r>
      <w:r>
        <w:t xml:space="preserve">can </w:t>
      </w:r>
      <w:r w:rsidRPr="00CE6B3E">
        <w:t>provide an SCG reference configuration to the MN when initiating the procedure</w:t>
      </w:r>
      <w:r>
        <w:t>.</w:t>
      </w:r>
      <w:bookmarkEnd w:id="20"/>
    </w:p>
    <w:p w14:paraId="0D0F8169" w14:textId="0BE09597" w:rsidR="00FF5EE2" w:rsidRPr="00351170" w:rsidRDefault="00FF5EE2" w:rsidP="00351170">
      <w:pPr>
        <w:pStyle w:val="Heading2"/>
      </w:pPr>
      <w:r>
        <w:t>2.5</w:t>
      </w:r>
      <w:r>
        <w:tab/>
        <w:t>Security configurations</w:t>
      </w:r>
    </w:p>
    <w:p w14:paraId="04E21724" w14:textId="77777777" w:rsidR="0022344B" w:rsidRDefault="0022344B" w:rsidP="00070B21">
      <w:pPr>
        <w:pStyle w:val="BodyText"/>
      </w:pPr>
      <w:r>
        <w:t xml:space="preserve">The need for multiple </w:t>
      </w:r>
      <w:proofErr w:type="spellStart"/>
      <w:r>
        <w:t>sk</w:t>
      </w:r>
      <w:proofErr w:type="spellEnd"/>
      <w:r>
        <w:t xml:space="preserve">-counters is limited to some cases, such as where multiple CPA or inter-SN CPC executions are executed. In some </w:t>
      </w:r>
      <w:proofErr w:type="gramStart"/>
      <w:r>
        <w:t>cases</w:t>
      </w:r>
      <w:proofErr w:type="gramEnd"/>
      <w:r>
        <w:t xml:space="preserve"> there is no need for any </w:t>
      </w:r>
      <w:proofErr w:type="spellStart"/>
      <w:r>
        <w:t>sk</w:t>
      </w:r>
      <w:proofErr w:type="spellEnd"/>
      <w:r>
        <w:t xml:space="preserve">-counter value at all and in some cases it is enough with the existing </w:t>
      </w:r>
      <w:proofErr w:type="spellStart"/>
      <w:r>
        <w:t>sk</w:t>
      </w:r>
      <w:proofErr w:type="spellEnd"/>
      <w:r>
        <w:t xml:space="preserve">-counter in the candidate target configuration. When executing a subsequent CPAC configuration that requires a new security key, the UE should then first use the </w:t>
      </w:r>
      <w:proofErr w:type="spellStart"/>
      <w:r>
        <w:t>sk</w:t>
      </w:r>
      <w:proofErr w:type="spellEnd"/>
      <w:r>
        <w:t xml:space="preserve">-counter in the candidate target configuration and then, at subsequent cases, use an </w:t>
      </w:r>
      <w:proofErr w:type="spellStart"/>
      <w:r>
        <w:t>sk</w:t>
      </w:r>
      <w:proofErr w:type="spellEnd"/>
      <w:r>
        <w:t xml:space="preserve">-counter from the </w:t>
      </w:r>
      <w:proofErr w:type="spellStart"/>
      <w:r>
        <w:t>sk</w:t>
      </w:r>
      <w:proofErr w:type="spellEnd"/>
      <w:r>
        <w:t>-counter list (for the SN).</w:t>
      </w:r>
    </w:p>
    <w:p w14:paraId="3B1A8EB9" w14:textId="74FAC34B" w:rsidR="0022344B" w:rsidRDefault="0022344B" w:rsidP="009A0B11">
      <w:pPr>
        <w:pStyle w:val="Proposal"/>
        <w:tabs>
          <w:tab w:val="clear" w:pos="1304"/>
        </w:tabs>
        <w:ind w:left="1701" w:hanging="1701"/>
      </w:pPr>
      <w:bookmarkStart w:id="21" w:name="_Toc146829490"/>
      <w:r>
        <w:t xml:space="preserve">When executing a subsequent CPAC configuration that requires a new security key, the UE should first use the </w:t>
      </w:r>
      <w:proofErr w:type="spellStart"/>
      <w:r>
        <w:t>sk</w:t>
      </w:r>
      <w:proofErr w:type="spellEnd"/>
      <w:r>
        <w:t xml:space="preserve">-counter in the candidate target configuration and then, at subsequent cases, use an </w:t>
      </w:r>
      <w:proofErr w:type="spellStart"/>
      <w:r>
        <w:t>sk</w:t>
      </w:r>
      <w:proofErr w:type="spellEnd"/>
      <w:r>
        <w:t xml:space="preserve">-counter from the </w:t>
      </w:r>
      <w:proofErr w:type="spellStart"/>
      <w:r>
        <w:t>sk</w:t>
      </w:r>
      <w:proofErr w:type="spellEnd"/>
      <w:r>
        <w:t>-counter list (for the SN).</w:t>
      </w:r>
      <w:bookmarkEnd w:id="21"/>
    </w:p>
    <w:p w14:paraId="4D33ACED" w14:textId="679ADCEE" w:rsidR="007E11F0" w:rsidRPr="00BC0500" w:rsidRDefault="007E11F0" w:rsidP="00070B21">
      <w:pPr>
        <w:pStyle w:val="BodyText"/>
      </w:pPr>
      <w:r w:rsidRPr="00BC0500">
        <w:lastRenderedPageBreak/>
        <w:t>In the RAN2#123 post-email discussion for subsequent CPAC security ([Post123][</w:t>
      </w:r>
      <w:proofErr w:type="gramStart"/>
      <w:r w:rsidRPr="00BC0500">
        <w:t>046][</w:t>
      </w:r>
      <w:proofErr w:type="spellStart"/>
      <w:proofErr w:type="gramEnd"/>
      <w:r w:rsidRPr="00BC0500">
        <w:t>feMob</w:t>
      </w:r>
      <w:proofErr w:type="spellEnd"/>
      <w:r w:rsidRPr="00BC0500">
        <w:t>] subsequent CPAC security (Nokia)), some questions were left open. One concerned whether there is a need to define a UE behaviour for the scenario where there is no SK-counter available at the time of subsequent CPAC execution.</w:t>
      </w:r>
    </w:p>
    <w:p w14:paraId="0E1BCEAF" w14:textId="7DDC4FAF" w:rsidR="004F6224" w:rsidRPr="001B5EF7" w:rsidRDefault="004F6224" w:rsidP="00070B21">
      <w:pPr>
        <w:pStyle w:val="BodyText"/>
      </w:pPr>
      <w:r w:rsidRPr="001B5EF7">
        <w:t xml:space="preserve">The network and the UE should </w:t>
      </w:r>
      <w:r w:rsidR="0022344B">
        <w:t xml:space="preserve">normally </w:t>
      </w:r>
      <w:r w:rsidRPr="001B5EF7">
        <w:t xml:space="preserve">be aligned about which </w:t>
      </w:r>
      <w:proofErr w:type="spellStart"/>
      <w:r w:rsidRPr="001B5EF7">
        <w:t>sk</w:t>
      </w:r>
      <w:proofErr w:type="spellEnd"/>
      <w:r w:rsidRPr="001B5EF7">
        <w:t>-counter that is used</w:t>
      </w:r>
      <w:r w:rsidR="0022344B">
        <w:t xml:space="preserve">, </w:t>
      </w:r>
      <w:proofErr w:type="gramStart"/>
      <w:r w:rsidR="0022344B">
        <w:t>i.e.</w:t>
      </w:r>
      <w:proofErr w:type="gramEnd"/>
      <w:r w:rsidR="0022344B">
        <w:t xml:space="preserve"> it should be clear about the order to use </w:t>
      </w:r>
      <w:r w:rsidRPr="001B5EF7">
        <w:t xml:space="preserve">the configured </w:t>
      </w:r>
      <w:proofErr w:type="spellStart"/>
      <w:r w:rsidRPr="001B5EF7">
        <w:t>sk</w:t>
      </w:r>
      <w:proofErr w:type="spellEnd"/>
      <w:r w:rsidRPr="001B5EF7">
        <w:t>-counter value</w:t>
      </w:r>
      <w:r w:rsidR="0022344B">
        <w:t>s</w:t>
      </w:r>
      <w:r w:rsidRPr="001B5EF7">
        <w:t xml:space="preserve">. It should however be considered if there is a risk for misalignment in some specific cases, </w:t>
      </w:r>
      <w:r w:rsidR="0022344B">
        <w:t xml:space="preserve">for example if </w:t>
      </w:r>
      <w:r w:rsidRPr="001B5EF7">
        <w:t xml:space="preserve">the </w:t>
      </w:r>
      <w:proofErr w:type="spellStart"/>
      <w:r w:rsidRPr="001B5EF7">
        <w:rPr>
          <w:i/>
          <w:iCs/>
        </w:rPr>
        <w:t>RRCReconfigurationComplete</w:t>
      </w:r>
      <w:proofErr w:type="spellEnd"/>
      <w:r w:rsidRPr="001B5EF7">
        <w:t xml:space="preserve"> message </w:t>
      </w:r>
      <w:r w:rsidR="0022344B" w:rsidRPr="001B5EF7">
        <w:t xml:space="preserve">transmission </w:t>
      </w:r>
      <w:r w:rsidRPr="001B5EF7">
        <w:t xml:space="preserve">to the MN fails and </w:t>
      </w:r>
      <w:proofErr w:type="gramStart"/>
      <w:r w:rsidR="0022344B">
        <w:t>e.g.</w:t>
      </w:r>
      <w:proofErr w:type="gramEnd"/>
      <w:r w:rsidR="0022344B">
        <w:t xml:space="preserve"> </w:t>
      </w:r>
      <w:r w:rsidRPr="001B5EF7">
        <w:t xml:space="preserve">an MCG failure recovery procedure is used. </w:t>
      </w:r>
      <w:r w:rsidR="0022344B">
        <w:t xml:space="preserve">If there is a possible misalignment </w:t>
      </w:r>
      <w:r w:rsidR="0022344B" w:rsidRPr="001B5EF7">
        <w:t xml:space="preserve">about the used </w:t>
      </w:r>
      <w:proofErr w:type="spellStart"/>
      <w:r w:rsidR="0022344B" w:rsidRPr="001B5EF7">
        <w:t>sk</w:t>
      </w:r>
      <w:proofErr w:type="spellEnd"/>
      <w:r w:rsidR="0022344B" w:rsidRPr="001B5EF7">
        <w:t>-counter</w:t>
      </w:r>
      <w:r w:rsidR="0022344B">
        <w:t>,</w:t>
      </w:r>
      <w:r w:rsidR="0022344B" w:rsidRPr="001B5EF7">
        <w:t xml:space="preserve"> </w:t>
      </w:r>
      <w:r w:rsidRPr="001B5EF7">
        <w:t xml:space="preserve">it should be </w:t>
      </w:r>
      <w:r w:rsidR="0022344B">
        <w:t>discussed how to handle this</w:t>
      </w:r>
      <w:r w:rsidRPr="001B5EF7">
        <w:t>.</w:t>
      </w:r>
    </w:p>
    <w:p w14:paraId="1B1BA1D3" w14:textId="412D02C4" w:rsidR="004F6224" w:rsidRDefault="004F6224" w:rsidP="009A0B11">
      <w:pPr>
        <w:pStyle w:val="Proposal"/>
      </w:pPr>
      <w:bookmarkStart w:id="22" w:name="_Toc146829491"/>
      <w:r>
        <w:t xml:space="preserve">RAN2 to discuss possible misalignments between the UE and the network about used </w:t>
      </w:r>
      <w:proofErr w:type="spellStart"/>
      <w:r>
        <w:t>sk</w:t>
      </w:r>
      <w:proofErr w:type="spellEnd"/>
      <w:r>
        <w:t>-counter and how to handle these.</w:t>
      </w:r>
      <w:bookmarkEnd w:id="22"/>
    </w:p>
    <w:p w14:paraId="651FC283" w14:textId="1B44025E" w:rsidR="00550B0C" w:rsidRDefault="007E11F0" w:rsidP="00070B21">
      <w:pPr>
        <w:pStyle w:val="BodyText"/>
      </w:pPr>
      <w:r w:rsidRPr="00BC0500">
        <w:t xml:space="preserve">For conditional reconfigurations, it has been agreed that </w:t>
      </w:r>
      <w:r w:rsidR="00550B0C" w:rsidRPr="00BC0500">
        <w:t xml:space="preserve">it is up to UE implementation whether to perform the compliance check when the UE receives the configuration or only at execution (when the message is required to be applied). In case of subsequent CPAC, where the same configuration may be executed more than once, the latter may then correspond to performing multiple compliance checks. </w:t>
      </w:r>
      <w:r w:rsidR="00972D17">
        <w:t xml:space="preserve">A reason why a subsequent CPAC configuration my no longer be valid at a later execution (even if it was valid at the first execution) is that there is no available </w:t>
      </w:r>
      <w:proofErr w:type="spellStart"/>
      <w:r w:rsidR="00972D17">
        <w:t>sk</w:t>
      </w:r>
      <w:proofErr w:type="spellEnd"/>
      <w:r w:rsidR="00972D17">
        <w:t xml:space="preserve">-counter anymore. In that case, the UE cannot use the configuration for an inter-SN </w:t>
      </w:r>
      <w:proofErr w:type="spellStart"/>
      <w:r w:rsidR="00972D17">
        <w:t>PSCell</w:t>
      </w:r>
      <w:proofErr w:type="spellEnd"/>
      <w:r w:rsidR="00972D17">
        <w:t xml:space="preserve"> change or for a </w:t>
      </w:r>
      <w:proofErr w:type="spellStart"/>
      <w:r w:rsidR="00972D17">
        <w:t>PSCell</w:t>
      </w:r>
      <w:proofErr w:type="spellEnd"/>
      <w:r w:rsidR="00972D17">
        <w:t xml:space="preserve"> addition. </w:t>
      </w:r>
      <w:r w:rsidR="00550B0C" w:rsidRPr="00BC0500">
        <w:t xml:space="preserve">The compliance check should </w:t>
      </w:r>
      <w:r w:rsidR="00972D17">
        <w:t xml:space="preserve">thus </w:t>
      </w:r>
      <w:proofErr w:type="gramStart"/>
      <w:r w:rsidR="00550B0C" w:rsidRPr="00BC0500">
        <w:t>consider also</w:t>
      </w:r>
      <w:proofErr w:type="gramEnd"/>
      <w:r w:rsidR="00550B0C" w:rsidRPr="00BC0500">
        <w:t xml:space="preserve"> the availability of a security key configuration, when such is needed</w:t>
      </w:r>
      <w:r w:rsidR="00972D17">
        <w:t xml:space="preserve">, and </w:t>
      </w:r>
      <w:r w:rsidR="00550B0C" w:rsidRPr="00BC0500">
        <w:t>lead to that the UE detects an inability to comply with the configuration</w:t>
      </w:r>
      <w:r w:rsidR="00972D17">
        <w:t xml:space="preserve"> if there is no </w:t>
      </w:r>
      <w:proofErr w:type="spellStart"/>
      <w:r w:rsidR="00972D17">
        <w:t>sk</w:t>
      </w:r>
      <w:proofErr w:type="spellEnd"/>
      <w:r w:rsidR="00972D17">
        <w:t>-counter available</w:t>
      </w:r>
      <w:r w:rsidR="00550B0C" w:rsidRPr="00BC0500">
        <w:t>.</w:t>
      </w:r>
    </w:p>
    <w:p w14:paraId="6C1DD585" w14:textId="203C9E01" w:rsidR="00B2081F" w:rsidRDefault="00BC0500" w:rsidP="00B2081F">
      <w:pPr>
        <w:pStyle w:val="Proposal"/>
      </w:pPr>
      <w:bookmarkStart w:id="23" w:name="_Toc146829492"/>
      <w:r>
        <w:t xml:space="preserve">For </w:t>
      </w:r>
      <w:r w:rsidR="00705FAF">
        <w:t>subsequent CPAC configurations, t</w:t>
      </w:r>
      <w:r>
        <w:t xml:space="preserve">he UE should </w:t>
      </w:r>
      <w:r w:rsidR="00705FAF">
        <w:t>perform a compliance check at each execution of the configuration</w:t>
      </w:r>
      <w:r w:rsidR="00972D17">
        <w:t xml:space="preserve"> where a new security key is needed</w:t>
      </w:r>
      <w:r w:rsidR="00705FAF">
        <w:t>, taking the availability of a</w:t>
      </w:r>
      <w:r w:rsidR="00972D17">
        <w:t xml:space="preserve">n </w:t>
      </w:r>
      <w:proofErr w:type="spellStart"/>
      <w:r w:rsidR="00972D17">
        <w:t>sk</w:t>
      </w:r>
      <w:proofErr w:type="spellEnd"/>
      <w:r w:rsidR="00972D17">
        <w:t xml:space="preserve">-counter </w:t>
      </w:r>
      <w:r w:rsidR="00705FAF">
        <w:t>into account</w:t>
      </w:r>
      <w:r>
        <w:t>.</w:t>
      </w:r>
      <w:bookmarkEnd w:id="23"/>
    </w:p>
    <w:p w14:paraId="20D74898" w14:textId="77777777" w:rsidR="00C01F33" w:rsidRPr="00CE0424" w:rsidRDefault="00C01F33" w:rsidP="00CE0424">
      <w:pPr>
        <w:pStyle w:val="Heading1"/>
      </w:pPr>
      <w:r w:rsidRPr="00CE0424">
        <w:t>Conclusion</w:t>
      </w:r>
    </w:p>
    <w:p w14:paraId="7E08B161" w14:textId="44D6EB18" w:rsidR="008E065E" w:rsidRPr="00D444A8" w:rsidRDefault="008E065E" w:rsidP="008E065E">
      <w:pPr>
        <w:pStyle w:val="BodyText"/>
        <w:rPr>
          <w:b/>
          <w:bCs/>
        </w:rPr>
      </w:pPr>
      <w:r w:rsidRPr="00D444A8">
        <w:t xml:space="preserve">In </w:t>
      </w:r>
      <w:r w:rsidR="007729A2" w:rsidRPr="00D444A8">
        <w:t xml:space="preserve">the previous </w:t>
      </w:r>
      <w:r w:rsidRPr="00D444A8">
        <w:t>section</w:t>
      </w:r>
      <w:r w:rsidR="007729A2" w:rsidRPr="00D444A8">
        <w:t>s</w:t>
      </w:r>
      <w:r w:rsidRPr="00D444A8">
        <w:t xml:space="preserve"> we made the following observation</w:t>
      </w:r>
      <w:r w:rsidR="00732C81">
        <w:t>s</w:t>
      </w:r>
      <w:r w:rsidRPr="00D444A8">
        <w:t>:</w:t>
      </w:r>
      <w:r w:rsidR="00C93814" w:rsidRPr="00D444A8">
        <w:rPr>
          <w:b/>
          <w:bCs/>
        </w:rPr>
        <w:t xml:space="preserve"> </w:t>
      </w:r>
    </w:p>
    <w:p w14:paraId="2CE4314F" w14:textId="77777777" w:rsidR="00070B21"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46829480" w:history="1">
        <w:r w:rsidR="00070B21" w:rsidRPr="00687828">
          <w:rPr>
            <w:rStyle w:val="Hyperlink"/>
            <w:noProof/>
          </w:rPr>
          <w:t>Observation 1</w:t>
        </w:r>
        <w:r w:rsidR="00070B21">
          <w:rPr>
            <w:rFonts w:asciiTheme="minorHAnsi" w:eastAsiaTheme="minorEastAsia" w:hAnsiTheme="minorHAnsi" w:cstheme="minorBidi"/>
            <w:b w:val="0"/>
            <w:noProof/>
            <w:kern w:val="2"/>
            <w:sz w:val="24"/>
            <w:szCs w:val="24"/>
            <w:lang w:val="en-FI" w:eastAsia="en-GB"/>
            <w14:ligatures w14:val="standardContextual"/>
          </w:rPr>
          <w:tab/>
        </w:r>
        <w:r w:rsidR="00070B21" w:rsidRPr="00687828">
          <w:rPr>
            <w:rStyle w:val="Hyperlink"/>
            <w:noProof/>
          </w:rPr>
          <w:t>An intra-SN CPC configuration in SN format cannot be used after an inter-SN PSCell change.</w:t>
        </w:r>
      </w:hyperlink>
    </w:p>
    <w:p w14:paraId="49447585"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1" w:history="1">
        <w:r w:rsidRPr="00687828">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687828">
          <w:rPr>
            <w:rStyle w:val="Hyperlink"/>
            <w:noProof/>
          </w:rPr>
          <w:t>To support inter-SN subsequent CPAC, it needs to be supported that the candidate target PSCell of a subsequent CPAC configuration is in another SN or in the same SN as the current PSCell.</w:t>
        </w:r>
      </w:hyperlink>
    </w:p>
    <w:p w14:paraId="7570C759" w14:textId="625D56A4" w:rsidR="006E1C82" w:rsidRDefault="006F6582" w:rsidP="008E065E">
      <w:pPr>
        <w:pStyle w:val="BodyText"/>
        <w:rPr>
          <w:b/>
          <w:bCs/>
        </w:rPr>
      </w:pPr>
      <w:r w:rsidRPr="00410ECF">
        <w:rPr>
          <w:b/>
          <w:bCs/>
          <w:highlight w:val="yellow"/>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F5FA43" w14:textId="77777777" w:rsidR="00070B21"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29483" w:history="1">
        <w:r w:rsidR="00070B21" w:rsidRPr="00692681">
          <w:rPr>
            <w:rStyle w:val="Hyperlink"/>
            <w:noProof/>
          </w:rPr>
          <w:t>Proposal 1</w:t>
        </w:r>
        <w:r w:rsidR="00070B21">
          <w:rPr>
            <w:rFonts w:asciiTheme="minorHAnsi" w:eastAsiaTheme="minorEastAsia" w:hAnsiTheme="minorHAnsi" w:cstheme="minorBidi"/>
            <w:b w:val="0"/>
            <w:noProof/>
            <w:kern w:val="2"/>
            <w:sz w:val="24"/>
            <w:szCs w:val="24"/>
            <w:lang w:val="en-FI" w:eastAsia="en-GB"/>
            <w14:ligatures w14:val="standardContextual"/>
          </w:rPr>
          <w:tab/>
        </w:r>
        <w:r w:rsidR="00070B21" w:rsidRPr="00692681">
          <w:rPr>
            <w:rStyle w:val="Hyperlink"/>
            <w:noProof/>
          </w:rPr>
          <w:t>The UE should not keep the initial execution conditions for a subsequent CPAC configuration when new execution conditions, from a candidate SN, have been applied.</w:t>
        </w:r>
      </w:hyperlink>
    </w:p>
    <w:p w14:paraId="2A8ECB4F"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4" w:history="1">
        <w:r w:rsidRPr="00692681">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 xml:space="preserve">The network should, in </w:t>
        </w:r>
        <w:r w:rsidRPr="00692681">
          <w:rPr>
            <w:rStyle w:val="Hyperlink"/>
            <w:i/>
            <w:iCs/>
            <w:noProof/>
          </w:rPr>
          <w:t>CondReconfigToAddMod</w:t>
        </w:r>
        <w:r w:rsidRPr="00692681">
          <w:rPr>
            <w:rStyle w:val="Hyperlink"/>
            <w:noProof/>
          </w:rPr>
          <w:t>, be able to indicate whether the UE should keep or release the other stored candidate configurations for subsequent CPC.</w:t>
        </w:r>
      </w:hyperlink>
    </w:p>
    <w:p w14:paraId="431A6FEA"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5" w:history="1">
        <w:r w:rsidRPr="00692681">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It should be possible for the network to indicate that a candidate configuration that is kept should be considered as not applicable. A not applicable candidate configuration should not be evaluated by the UE.</w:t>
        </w:r>
      </w:hyperlink>
    </w:p>
    <w:p w14:paraId="68443228"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6" w:history="1">
        <w:r w:rsidRPr="00692681">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It should be supported to configure subsequent CPAC for an intra-SN candidate target PSCell in MN format.</w:t>
        </w:r>
      </w:hyperlink>
    </w:p>
    <w:p w14:paraId="1B4513AE"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7" w:history="1">
        <w:r w:rsidRPr="00692681">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The reference configuration for Subsequent CPAC should be optional. It is up to the network whether to provide any reference configuration to the UE.</w:t>
        </w:r>
      </w:hyperlink>
    </w:p>
    <w:p w14:paraId="4410CA4F"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8" w:history="1">
        <w:r w:rsidRPr="00692681">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The UE, when receiving a candidate target cell configuration for Subsequent CPAC, should be aware whether it is a delta configuration (to be applied on top of a reference configuration) or if it is a complete configuration. This should be indicated separately for the SCG part and the MCG part of the configuration.</w:t>
        </w:r>
      </w:hyperlink>
    </w:p>
    <w:p w14:paraId="532E1935"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89" w:history="1">
        <w:r w:rsidRPr="00692681">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For the SN-initiated case, the S-SN can provide an SCG reference configuration to the MN when initiating the procedure.</w:t>
        </w:r>
      </w:hyperlink>
    </w:p>
    <w:p w14:paraId="2A89DE4C"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90" w:history="1">
        <w:r w:rsidRPr="00692681">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When executing a subsequent CPAC configuration that requires a new security key, the UE should first use the sk-counter in the candidate target configuration and then, at subsequent cases, use an sk-counter from the sk-counter list (for the SN).</w:t>
        </w:r>
      </w:hyperlink>
    </w:p>
    <w:p w14:paraId="0621CD80"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91" w:history="1">
        <w:r w:rsidRPr="00692681">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RAN2 to discuss possible misalignments between the UE and the network about used sk-counter and how to handle these.</w:t>
        </w:r>
      </w:hyperlink>
    </w:p>
    <w:p w14:paraId="59D54A57" w14:textId="77777777" w:rsidR="00070B21" w:rsidRDefault="00070B21">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9492" w:history="1">
        <w:r w:rsidRPr="00692681">
          <w:rPr>
            <w:rStyle w:val="Hyperlink"/>
            <w:noProof/>
          </w:rPr>
          <w:t>Proposal 10</w:t>
        </w:r>
        <w:r>
          <w:rPr>
            <w:rFonts w:asciiTheme="minorHAnsi" w:eastAsiaTheme="minorEastAsia" w:hAnsiTheme="minorHAnsi" w:cstheme="minorBidi"/>
            <w:b w:val="0"/>
            <w:noProof/>
            <w:kern w:val="2"/>
            <w:sz w:val="24"/>
            <w:szCs w:val="24"/>
            <w:lang w:val="en-FI" w:eastAsia="en-GB"/>
            <w14:ligatures w14:val="standardContextual"/>
          </w:rPr>
          <w:tab/>
        </w:r>
        <w:r w:rsidRPr="00692681">
          <w:rPr>
            <w:rStyle w:val="Hyperlink"/>
            <w:noProof/>
          </w:rPr>
          <w:t>For subsequent CPAC configurations, the UE should perform a compliance check at each execution of the configuration where a new security key is needed, taking the availability of an sk-counter into account.</w:t>
        </w:r>
      </w:hyperlink>
    </w:p>
    <w:p w14:paraId="0307436E" w14:textId="6691D733"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4" w:name="_In-sequence_SDU_delivery"/>
      <w:bookmarkEnd w:id="24"/>
      <w:r w:rsidRPr="00CE0424">
        <w:t>References</w:t>
      </w:r>
    </w:p>
    <w:p w14:paraId="5DCC939F" w14:textId="001A182D" w:rsidR="003A7EF3" w:rsidRDefault="009F161B" w:rsidP="00CE0424">
      <w:pPr>
        <w:pStyle w:val="Reference"/>
      </w:pPr>
      <w:bookmarkStart w:id="25" w:name="_Ref107489175"/>
      <w:bookmarkStart w:id="26" w:name="_Ref174151459"/>
      <w:bookmarkStart w:id="27"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25"/>
      <w:bookmarkEnd w:id="26"/>
      <w:bookmarkEnd w:id="27"/>
      <w:proofErr w:type="gramEnd"/>
    </w:p>
    <w:p w14:paraId="7E534BD0" w14:textId="77777777" w:rsidR="00FF1575" w:rsidRPr="00CE0424" w:rsidRDefault="00FF1575" w:rsidP="00CC49EC">
      <w:pPr>
        <w:pStyle w:val="Reference"/>
        <w:numPr>
          <w:ilvl w:val="0"/>
          <w:numId w:val="0"/>
        </w:numPr>
      </w:pPr>
    </w:p>
    <w:sectPr w:rsidR="00FF157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B542" w14:textId="77777777" w:rsidR="00A71574" w:rsidRDefault="00A71574">
      <w:r>
        <w:separator/>
      </w:r>
    </w:p>
  </w:endnote>
  <w:endnote w:type="continuationSeparator" w:id="0">
    <w:p w14:paraId="76CABADE" w14:textId="77777777" w:rsidR="00A71574" w:rsidRDefault="00A71574">
      <w:r>
        <w:continuationSeparator/>
      </w:r>
    </w:p>
  </w:endnote>
  <w:endnote w:type="continuationNotice" w:id="1">
    <w:p w14:paraId="0F16A06E" w14:textId="77777777" w:rsidR="00A71574" w:rsidRDefault="00A71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Ericsson Hilda">
    <w:panose1 w:val="00000500000000000000"/>
    <w:charset w:val="00"/>
    <w:family w:val="auto"/>
    <w:notTrueType/>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789E" w14:textId="77777777" w:rsidR="00A71574" w:rsidRDefault="00A71574">
      <w:r>
        <w:separator/>
      </w:r>
    </w:p>
  </w:footnote>
  <w:footnote w:type="continuationSeparator" w:id="0">
    <w:p w14:paraId="14129B4B" w14:textId="77777777" w:rsidR="00A71574" w:rsidRDefault="00A71574">
      <w:r>
        <w:continuationSeparator/>
      </w:r>
    </w:p>
  </w:footnote>
  <w:footnote w:type="continuationNotice" w:id="1">
    <w:p w14:paraId="24B08BF1" w14:textId="77777777" w:rsidR="00A71574" w:rsidRDefault="00A71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42B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4BF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52726C"/>
    <w:multiLevelType w:val="hybridMultilevel"/>
    <w:tmpl w:val="F614F1A6"/>
    <w:lvl w:ilvl="0" w:tplc="DFECF170">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B21B39"/>
    <w:multiLevelType w:val="hybridMultilevel"/>
    <w:tmpl w:val="0CA6A982"/>
    <w:lvl w:ilvl="0" w:tplc="4BD24A90">
      <w:start w:val="1"/>
      <w:numFmt w:val="bullet"/>
      <w:lvlText w:val="—"/>
      <w:lvlJc w:val="left"/>
      <w:pPr>
        <w:tabs>
          <w:tab w:val="num" w:pos="720"/>
        </w:tabs>
        <w:ind w:left="720" w:hanging="360"/>
      </w:pPr>
      <w:rPr>
        <w:rFonts w:ascii="Ericsson Hilda Light" w:hAnsi="Ericsson Hilda Light" w:hint="default"/>
      </w:rPr>
    </w:lvl>
    <w:lvl w:ilvl="1" w:tplc="D2EA0638">
      <w:start w:val="1"/>
      <w:numFmt w:val="bullet"/>
      <w:lvlText w:val="—"/>
      <w:lvlJc w:val="left"/>
      <w:pPr>
        <w:tabs>
          <w:tab w:val="num" w:pos="1440"/>
        </w:tabs>
        <w:ind w:left="1440" w:hanging="360"/>
      </w:pPr>
      <w:rPr>
        <w:rFonts w:ascii="Ericsson Hilda Light" w:hAnsi="Ericsson Hilda Light" w:hint="default"/>
      </w:rPr>
    </w:lvl>
    <w:lvl w:ilvl="2" w:tplc="0D605CE6" w:tentative="1">
      <w:start w:val="1"/>
      <w:numFmt w:val="bullet"/>
      <w:lvlText w:val="—"/>
      <w:lvlJc w:val="left"/>
      <w:pPr>
        <w:tabs>
          <w:tab w:val="num" w:pos="2160"/>
        </w:tabs>
        <w:ind w:left="2160" w:hanging="360"/>
      </w:pPr>
      <w:rPr>
        <w:rFonts w:ascii="Ericsson Hilda Light" w:hAnsi="Ericsson Hilda Light" w:hint="default"/>
      </w:rPr>
    </w:lvl>
    <w:lvl w:ilvl="3" w:tplc="7C44C2CE" w:tentative="1">
      <w:start w:val="1"/>
      <w:numFmt w:val="bullet"/>
      <w:lvlText w:val="—"/>
      <w:lvlJc w:val="left"/>
      <w:pPr>
        <w:tabs>
          <w:tab w:val="num" w:pos="2880"/>
        </w:tabs>
        <w:ind w:left="2880" w:hanging="360"/>
      </w:pPr>
      <w:rPr>
        <w:rFonts w:ascii="Ericsson Hilda Light" w:hAnsi="Ericsson Hilda Light" w:hint="default"/>
      </w:rPr>
    </w:lvl>
    <w:lvl w:ilvl="4" w:tplc="10A871AE" w:tentative="1">
      <w:start w:val="1"/>
      <w:numFmt w:val="bullet"/>
      <w:lvlText w:val="—"/>
      <w:lvlJc w:val="left"/>
      <w:pPr>
        <w:tabs>
          <w:tab w:val="num" w:pos="3600"/>
        </w:tabs>
        <w:ind w:left="3600" w:hanging="360"/>
      </w:pPr>
      <w:rPr>
        <w:rFonts w:ascii="Ericsson Hilda Light" w:hAnsi="Ericsson Hilda Light" w:hint="default"/>
      </w:rPr>
    </w:lvl>
    <w:lvl w:ilvl="5" w:tplc="9BB4C9EC" w:tentative="1">
      <w:start w:val="1"/>
      <w:numFmt w:val="bullet"/>
      <w:lvlText w:val="—"/>
      <w:lvlJc w:val="left"/>
      <w:pPr>
        <w:tabs>
          <w:tab w:val="num" w:pos="4320"/>
        </w:tabs>
        <w:ind w:left="4320" w:hanging="360"/>
      </w:pPr>
      <w:rPr>
        <w:rFonts w:ascii="Ericsson Hilda Light" w:hAnsi="Ericsson Hilda Light" w:hint="default"/>
      </w:rPr>
    </w:lvl>
    <w:lvl w:ilvl="6" w:tplc="0BF4EF0A" w:tentative="1">
      <w:start w:val="1"/>
      <w:numFmt w:val="bullet"/>
      <w:lvlText w:val="—"/>
      <w:lvlJc w:val="left"/>
      <w:pPr>
        <w:tabs>
          <w:tab w:val="num" w:pos="5040"/>
        </w:tabs>
        <w:ind w:left="5040" w:hanging="360"/>
      </w:pPr>
      <w:rPr>
        <w:rFonts w:ascii="Ericsson Hilda Light" w:hAnsi="Ericsson Hilda Light" w:hint="default"/>
      </w:rPr>
    </w:lvl>
    <w:lvl w:ilvl="7" w:tplc="105AB88E" w:tentative="1">
      <w:start w:val="1"/>
      <w:numFmt w:val="bullet"/>
      <w:lvlText w:val="—"/>
      <w:lvlJc w:val="left"/>
      <w:pPr>
        <w:tabs>
          <w:tab w:val="num" w:pos="5760"/>
        </w:tabs>
        <w:ind w:left="5760" w:hanging="360"/>
      </w:pPr>
      <w:rPr>
        <w:rFonts w:ascii="Ericsson Hilda Light" w:hAnsi="Ericsson Hilda Light" w:hint="default"/>
      </w:rPr>
    </w:lvl>
    <w:lvl w:ilvl="8" w:tplc="B3B83D2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A5B3E76"/>
    <w:multiLevelType w:val="hybridMultilevel"/>
    <w:tmpl w:val="0870FFF2"/>
    <w:lvl w:ilvl="0" w:tplc="78BC44C8">
      <w:start w:val="1"/>
      <w:numFmt w:val="bullet"/>
      <w:lvlText w:val="—"/>
      <w:lvlJc w:val="left"/>
      <w:pPr>
        <w:tabs>
          <w:tab w:val="num" w:pos="720"/>
        </w:tabs>
        <w:ind w:left="720" w:hanging="360"/>
      </w:pPr>
      <w:rPr>
        <w:rFonts w:ascii="Ericsson Hilda Light" w:hAnsi="Ericsson Hilda Light" w:hint="default"/>
      </w:rPr>
    </w:lvl>
    <w:lvl w:ilvl="1" w:tplc="2FD8C85A">
      <w:start w:val="1"/>
      <w:numFmt w:val="bullet"/>
      <w:lvlText w:val="—"/>
      <w:lvlJc w:val="left"/>
      <w:pPr>
        <w:tabs>
          <w:tab w:val="num" w:pos="1440"/>
        </w:tabs>
        <w:ind w:left="1440" w:hanging="360"/>
      </w:pPr>
      <w:rPr>
        <w:rFonts w:ascii="Ericsson Hilda Light" w:hAnsi="Ericsson Hilda Light" w:hint="default"/>
      </w:rPr>
    </w:lvl>
    <w:lvl w:ilvl="2" w:tplc="9C5AC742" w:tentative="1">
      <w:start w:val="1"/>
      <w:numFmt w:val="bullet"/>
      <w:lvlText w:val="—"/>
      <w:lvlJc w:val="left"/>
      <w:pPr>
        <w:tabs>
          <w:tab w:val="num" w:pos="2160"/>
        </w:tabs>
        <w:ind w:left="2160" w:hanging="360"/>
      </w:pPr>
      <w:rPr>
        <w:rFonts w:ascii="Ericsson Hilda Light" w:hAnsi="Ericsson Hilda Light" w:hint="default"/>
      </w:rPr>
    </w:lvl>
    <w:lvl w:ilvl="3" w:tplc="DCD8C47A" w:tentative="1">
      <w:start w:val="1"/>
      <w:numFmt w:val="bullet"/>
      <w:lvlText w:val="—"/>
      <w:lvlJc w:val="left"/>
      <w:pPr>
        <w:tabs>
          <w:tab w:val="num" w:pos="2880"/>
        </w:tabs>
        <w:ind w:left="2880" w:hanging="360"/>
      </w:pPr>
      <w:rPr>
        <w:rFonts w:ascii="Ericsson Hilda Light" w:hAnsi="Ericsson Hilda Light" w:hint="default"/>
      </w:rPr>
    </w:lvl>
    <w:lvl w:ilvl="4" w:tplc="21D098A8" w:tentative="1">
      <w:start w:val="1"/>
      <w:numFmt w:val="bullet"/>
      <w:lvlText w:val="—"/>
      <w:lvlJc w:val="left"/>
      <w:pPr>
        <w:tabs>
          <w:tab w:val="num" w:pos="3600"/>
        </w:tabs>
        <w:ind w:left="3600" w:hanging="360"/>
      </w:pPr>
      <w:rPr>
        <w:rFonts w:ascii="Ericsson Hilda Light" w:hAnsi="Ericsson Hilda Light" w:hint="default"/>
      </w:rPr>
    </w:lvl>
    <w:lvl w:ilvl="5" w:tplc="13589782" w:tentative="1">
      <w:start w:val="1"/>
      <w:numFmt w:val="bullet"/>
      <w:lvlText w:val="—"/>
      <w:lvlJc w:val="left"/>
      <w:pPr>
        <w:tabs>
          <w:tab w:val="num" w:pos="4320"/>
        </w:tabs>
        <w:ind w:left="4320" w:hanging="360"/>
      </w:pPr>
      <w:rPr>
        <w:rFonts w:ascii="Ericsson Hilda Light" w:hAnsi="Ericsson Hilda Light" w:hint="default"/>
      </w:rPr>
    </w:lvl>
    <w:lvl w:ilvl="6" w:tplc="EFEEFD80" w:tentative="1">
      <w:start w:val="1"/>
      <w:numFmt w:val="bullet"/>
      <w:lvlText w:val="—"/>
      <w:lvlJc w:val="left"/>
      <w:pPr>
        <w:tabs>
          <w:tab w:val="num" w:pos="5040"/>
        </w:tabs>
        <w:ind w:left="5040" w:hanging="360"/>
      </w:pPr>
      <w:rPr>
        <w:rFonts w:ascii="Ericsson Hilda Light" w:hAnsi="Ericsson Hilda Light" w:hint="default"/>
      </w:rPr>
    </w:lvl>
    <w:lvl w:ilvl="7" w:tplc="AC5CDE42" w:tentative="1">
      <w:start w:val="1"/>
      <w:numFmt w:val="bullet"/>
      <w:lvlText w:val="—"/>
      <w:lvlJc w:val="left"/>
      <w:pPr>
        <w:tabs>
          <w:tab w:val="num" w:pos="5760"/>
        </w:tabs>
        <w:ind w:left="5760" w:hanging="360"/>
      </w:pPr>
      <w:rPr>
        <w:rFonts w:ascii="Ericsson Hilda Light" w:hAnsi="Ericsson Hilda Light" w:hint="default"/>
      </w:rPr>
    </w:lvl>
    <w:lvl w:ilvl="8" w:tplc="236AE2BC"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E950408"/>
    <w:multiLevelType w:val="hybridMultilevel"/>
    <w:tmpl w:val="B322C2F8"/>
    <w:lvl w:ilvl="0" w:tplc="C310B9A0">
      <w:start w:val="1"/>
      <w:numFmt w:val="decimal"/>
      <w:lvlText w:val="%1."/>
      <w:lvlJc w:val="left"/>
      <w:pPr>
        <w:ind w:left="1353" w:hanging="360"/>
      </w:pPr>
      <w:rPr>
        <w:rFonts w:hint="default"/>
      </w:rPr>
    </w:lvl>
    <w:lvl w:ilvl="1" w:tplc="20000019" w:tentative="1">
      <w:start w:val="1"/>
      <w:numFmt w:val="lowerLetter"/>
      <w:lvlText w:val="%2."/>
      <w:lvlJc w:val="left"/>
      <w:pPr>
        <w:ind w:left="814" w:hanging="360"/>
      </w:pPr>
    </w:lvl>
    <w:lvl w:ilvl="2" w:tplc="2000001B" w:tentative="1">
      <w:start w:val="1"/>
      <w:numFmt w:val="lowerRoman"/>
      <w:lvlText w:val="%3."/>
      <w:lvlJc w:val="right"/>
      <w:pPr>
        <w:ind w:left="1534" w:hanging="180"/>
      </w:pPr>
    </w:lvl>
    <w:lvl w:ilvl="3" w:tplc="2000000F" w:tentative="1">
      <w:start w:val="1"/>
      <w:numFmt w:val="decimal"/>
      <w:lvlText w:val="%4."/>
      <w:lvlJc w:val="left"/>
      <w:pPr>
        <w:ind w:left="2254" w:hanging="360"/>
      </w:pPr>
    </w:lvl>
    <w:lvl w:ilvl="4" w:tplc="20000019" w:tentative="1">
      <w:start w:val="1"/>
      <w:numFmt w:val="lowerLetter"/>
      <w:lvlText w:val="%5."/>
      <w:lvlJc w:val="left"/>
      <w:pPr>
        <w:ind w:left="2974" w:hanging="360"/>
      </w:pPr>
    </w:lvl>
    <w:lvl w:ilvl="5" w:tplc="2000001B" w:tentative="1">
      <w:start w:val="1"/>
      <w:numFmt w:val="lowerRoman"/>
      <w:lvlText w:val="%6."/>
      <w:lvlJc w:val="right"/>
      <w:pPr>
        <w:ind w:left="3694" w:hanging="180"/>
      </w:pPr>
    </w:lvl>
    <w:lvl w:ilvl="6" w:tplc="2000000F" w:tentative="1">
      <w:start w:val="1"/>
      <w:numFmt w:val="decimal"/>
      <w:lvlText w:val="%7."/>
      <w:lvlJc w:val="left"/>
      <w:pPr>
        <w:ind w:left="4414" w:hanging="360"/>
      </w:pPr>
    </w:lvl>
    <w:lvl w:ilvl="7" w:tplc="20000019" w:tentative="1">
      <w:start w:val="1"/>
      <w:numFmt w:val="lowerLetter"/>
      <w:lvlText w:val="%8."/>
      <w:lvlJc w:val="left"/>
      <w:pPr>
        <w:ind w:left="5134" w:hanging="360"/>
      </w:pPr>
    </w:lvl>
    <w:lvl w:ilvl="8" w:tplc="2000001B" w:tentative="1">
      <w:start w:val="1"/>
      <w:numFmt w:val="lowerRoman"/>
      <w:lvlText w:val="%9."/>
      <w:lvlJc w:val="right"/>
      <w:pPr>
        <w:ind w:left="585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B83D11"/>
    <w:multiLevelType w:val="hybridMultilevel"/>
    <w:tmpl w:val="90162A50"/>
    <w:lvl w:ilvl="0" w:tplc="A72A60C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7" w15:restartNumberingAfterBreak="0">
    <w:nsid w:val="2FA62893"/>
    <w:multiLevelType w:val="hybridMultilevel"/>
    <w:tmpl w:val="893416FE"/>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2190211"/>
    <w:multiLevelType w:val="hybridMultilevel"/>
    <w:tmpl w:val="D8EE9BF0"/>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C9001E"/>
    <w:multiLevelType w:val="hybridMultilevel"/>
    <w:tmpl w:val="096E1582"/>
    <w:lvl w:ilvl="0" w:tplc="8B5E3ADA">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27"/>
  </w:num>
  <w:num w:numId="2" w16cid:durableId="515073769">
    <w:abstractNumId w:val="22"/>
  </w:num>
  <w:num w:numId="3" w16cid:durableId="199708402">
    <w:abstractNumId w:val="2"/>
  </w:num>
  <w:num w:numId="4" w16cid:durableId="491719827">
    <w:abstractNumId w:val="29"/>
  </w:num>
  <w:num w:numId="5" w16cid:durableId="1042903622">
    <w:abstractNumId w:val="30"/>
  </w:num>
  <w:num w:numId="6" w16cid:durableId="1445271288">
    <w:abstractNumId w:val="31"/>
  </w:num>
  <w:num w:numId="7" w16cid:durableId="208612360">
    <w:abstractNumId w:val="12"/>
  </w:num>
  <w:num w:numId="8" w16cid:durableId="562762969">
    <w:abstractNumId w:val="14"/>
  </w:num>
  <w:num w:numId="9" w16cid:durableId="1508709121">
    <w:abstractNumId w:val="7"/>
  </w:num>
  <w:num w:numId="10" w16cid:durableId="1511723119">
    <w:abstractNumId w:val="38"/>
  </w:num>
  <w:num w:numId="11" w16cid:durableId="937372604">
    <w:abstractNumId w:val="20"/>
  </w:num>
  <w:num w:numId="12" w16cid:durableId="1288664389">
    <w:abstractNumId w:val="36"/>
  </w:num>
  <w:num w:numId="13" w16cid:durableId="1148285791">
    <w:abstractNumId w:val="37"/>
  </w:num>
  <w:num w:numId="14" w16cid:durableId="295523629">
    <w:abstractNumId w:val="39"/>
  </w:num>
  <w:num w:numId="15" w16cid:durableId="275674609">
    <w:abstractNumId w:val="34"/>
  </w:num>
  <w:num w:numId="16" w16cid:durableId="401802812">
    <w:abstractNumId w:val="23"/>
  </w:num>
  <w:num w:numId="17" w16cid:durableId="1713384399">
    <w:abstractNumId w:val="5"/>
  </w:num>
  <w:num w:numId="18" w16cid:durableId="256670662">
    <w:abstractNumId w:val="40"/>
  </w:num>
  <w:num w:numId="19" w16cid:durableId="560796611">
    <w:abstractNumId w:val="24"/>
  </w:num>
  <w:num w:numId="20" w16cid:durableId="1775664122">
    <w:abstractNumId w:val="35"/>
  </w:num>
  <w:num w:numId="21" w16cid:durableId="1179733633">
    <w:abstractNumId w:val="33"/>
  </w:num>
  <w:num w:numId="22" w16cid:durableId="1474299516">
    <w:abstractNumId w:val="8"/>
  </w:num>
  <w:num w:numId="23" w16cid:durableId="515847179">
    <w:abstractNumId w:val="9"/>
  </w:num>
  <w:num w:numId="24" w16cid:durableId="1134567667">
    <w:abstractNumId w:val="28"/>
  </w:num>
  <w:num w:numId="25" w16cid:durableId="203445553">
    <w:abstractNumId w:val="3"/>
  </w:num>
  <w:num w:numId="26" w16cid:durableId="1494029866">
    <w:abstractNumId w:val="21"/>
  </w:num>
  <w:num w:numId="27" w16cid:durableId="653919521">
    <w:abstractNumId w:val="41"/>
  </w:num>
  <w:num w:numId="28" w16cid:durableId="1716810772">
    <w:abstractNumId w:val="13"/>
  </w:num>
  <w:num w:numId="29" w16cid:durableId="905608374">
    <w:abstractNumId w:val="10"/>
  </w:num>
  <w:num w:numId="30" w16cid:durableId="1359240262">
    <w:abstractNumId w:val="32"/>
  </w:num>
  <w:num w:numId="31" w16cid:durableId="456141824">
    <w:abstractNumId w:val="6"/>
  </w:num>
  <w:num w:numId="32" w16cid:durableId="711878829">
    <w:abstractNumId w:val="18"/>
  </w:num>
  <w:num w:numId="33" w16cid:durableId="118109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6281419">
    <w:abstractNumId w:val="16"/>
  </w:num>
  <w:num w:numId="35" w16cid:durableId="631205267">
    <w:abstractNumId w:val="26"/>
  </w:num>
  <w:num w:numId="36" w16cid:durableId="1747649844">
    <w:abstractNumId w:val="15"/>
  </w:num>
  <w:num w:numId="37" w16cid:durableId="363210639">
    <w:abstractNumId w:val="11"/>
  </w:num>
  <w:num w:numId="38" w16cid:durableId="137918124">
    <w:abstractNumId w:val="1"/>
  </w:num>
  <w:num w:numId="39" w16cid:durableId="1421366433">
    <w:abstractNumId w:val="0"/>
  </w:num>
  <w:num w:numId="40" w16cid:durableId="544833088">
    <w:abstractNumId w:val="25"/>
  </w:num>
  <w:num w:numId="41" w16cid:durableId="1267612926">
    <w:abstractNumId w:val="17"/>
  </w:num>
  <w:num w:numId="42" w16cid:durableId="401833399">
    <w:abstractNumId w:val="4"/>
  </w:num>
  <w:num w:numId="43" w16cid:durableId="149995482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1E87"/>
    <w:rsid w:val="0001246D"/>
    <w:rsid w:val="00012BA5"/>
    <w:rsid w:val="00015220"/>
    <w:rsid w:val="00015D15"/>
    <w:rsid w:val="00016CB9"/>
    <w:rsid w:val="00021683"/>
    <w:rsid w:val="00021B17"/>
    <w:rsid w:val="00023AE8"/>
    <w:rsid w:val="00024F0F"/>
    <w:rsid w:val="000251A9"/>
    <w:rsid w:val="0002564D"/>
    <w:rsid w:val="00025ECA"/>
    <w:rsid w:val="0002738F"/>
    <w:rsid w:val="00030436"/>
    <w:rsid w:val="000314CC"/>
    <w:rsid w:val="000314D9"/>
    <w:rsid w:val="000325B8"/>
    <w:rsid w:val="00032AC8"/>
    <w:rsid w:val="00033AA3"/>
    <w:rsid w:val="00034C15"/>
    <w:rsid w:val="00035537"/>
    <w:rsid w:val="00035E1B"/>
    <w:rsid w:val="00036BA1"/>
    <w:rsid w:val="00036FEC"/>
    <w:rsid w:val="00037820"/>
    <w:rsid w:val="000410C7"/>
    <w:rsid w:val="0004135B"/>
    <w:rsid w:val="00041F8D"/>
    <w:rsid w:val="000422E2"/>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4A7"/>
    <w:rsid w:val="000534E3"/>
    <w:rsid w:val="00054275"/>
    <w:rsid w:val="0005606A"/>
    <w:rsid w:val="0005635F"/>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70B21"/>
    <w:rsid w:val="00070B8A"/>
    <w:rsid w:val="00070EC2"/>
    <w:rsid w:val="000732D8"/>
    <w:rsid w:val="00073E69"/>
    <w:rsid w:val="00073F2E"/>
    <w:rsid w:val="0007630D"/>
    <w:rsid w:val="00077E5F"/>
    <w:rsid w:val="0008036A"/>
    <w:rsid w:val="0008166D"/>
    <w:rsid w:val="000819EA"/>
    <w:rsid w:val="00081AE6"/>
    <w:rsid w:val="0008331B"/>
    <w:rsid w:val="0008356A"/>
    <w:rsid w:val="00084FF1"/>
    <w:rsid w:val="000855EB"/>
    <w:rsid w:val="00085B52"/>
    <w:rsid w:val="000866F2"/>
    <w:rsid w:val="0009009F"/>
    <w:rsid w:val="000905BD"/>
    <w:rsid w:val="00091557"/>
    <w:rsid w:val="00091C7B"/>
    <w:rsid w:val="0009213D"/>
    <w:rsid w:val="000924C1"/>
    <w:rsid w:val="000924F0"/>
    <w:rsid w:val="00093474"/>
    <w:rsid w:val="00094605"/>
    <w:rsid w:val="0009510F"/>
    <w:rsid w:val="00096F78"/>
    <w:rsid w:val="000978D4"/>
    <w:rsid w:val="000A00D2"/>
    <w:rsid w:val="000A0373"/>
    <w:rsid w:val="000A0A4C"/>
    <w:rsid w:val="000A1AAB"/>
    <w:rsid w:val="000A1B7B"/>
    <w:rsid w:val="000A20EE"/>
    <w:rsid w:val="000A438A"/>
    <w:rsid w:val="000A56F2"/>
    <w:rsid w:val="000A58B8"/>
    <w:rsid w:val="000A66D4"/>
    <w:rsid w:val="000A699D"/>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8C3"/>
    <w:rsid w:val="000B61E9"/>
    <w:rsid w:val="000B6E4E"/>
    <w:rsid w:val="000C0B79"/>
    <w:rsid w:val="000C1428"/>
    <w:rsid w:val="000C165A"/>
    <w:rsid w:val="000C1A80"/>
    <w:rsid w:val="000C2E19"/>
    <w:rsid w:val="000C58E6"/>
    <w:rsid w:val="000C71D0"/>
    <w:rsid w:val="000D0C11"/>
    <w:rsid w:val="000D0D07"/>
    <w:rsid w:val="000D1096"/>
    <w:rsid w:val="000D4797"/>
    <w:rsid w:val="000D47F9"/>
    <w:rsid w:val="000D4A69"/>
    <w:rsid w:val="000D5390"/>
    <w:rsid w:val="000D63B2"/>
    <w:rsid w:val="000D7809"/>
    <w:rsid w:val="000D7E0F"/>
    <w:rsid w:val="000E0527"/>
    <w:rsid w:val="000E1E92"/>
    <w:rsid w:val="000E2BC9"/>
    <w:rsid w:val="000E2D4C"/>
    <w:rsid w:val="000E483E"/>
    <w:rsid w:val="000E75B0"/>
    <w:rsid w:val="000F06D6"/>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1D6"/>
    <w:rsid w:val="001028BF"/>
    <w:rsid w:val="001062FB"/>
    <w:rsid w:val="001063E6"/>
    <w:rsid w:val="0010754C"/>
    <w:rsid w:val="00107A1E"/>
    <w:rsid w:val="00110525"/>
    <w:rsid w:val="00110752"/>
    <w:rsid w:val="0011162F"/>
    <w:rsid w:val="001131AC"/>
    <w:rsid w:val="001138D2"/>
    <w:rsid w:val="00113CF4"/>
    <w:rsid w:val="001153EA"/>
    <w:rsid w:val="00115643"/>
    <w:rsid w:val="00115738"/>
    <w:rsid w:val="0011632E"/>
    <w:rsid w:val="00116765"/>
    <w:rsid w:val="001205C1"/>
    <w:rsid w:val="00120607"/>
    <w:rsid w:val="00120955"/>
    <w:rsid w:val="0012147A"/>
    <w:rsid w:val="001219F5"/>
    <w:rsid w:val="00121A20"/>
    <w:rsid w:val="001223AF"/>
    <w:rsid w:val="00122A9B"/>
    <w:rsid w:val="0012377F"/>
    <w:rsid w:val="00124314"/>
    <w:rsid w:val="00125389"/>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76B2"/>
    <w:rsid w:val="00150866"/>
    <w:rsid w:val="00150A53"/>
    <w:rsid w:val="00151E23"/>
    <w:rsid w:val="001526E0"/>
    <w:rsid w:val="0015279E"/>
    <w:rsid w:val="00152966"/>
    <w:rsid w:val="00152ABF"/>
    <w:rsid w:val="00154097"/>
    <w:rsid w:val="001551B5"/>
    <w:rsid w:val="001562F0"/>
    <w:rsid w:val="00157B85"/>
    <w:rsid w:val="00160FCC"/>
    <w:rsid w:val="00162F46"/>
    <w:rsid w:val="00163708"/>
    <w:rsid w:val="001659C1"/>
    <w:rsid w:val="001678D3"/>
    <w:rsid w:val="00170403"/>
    <w:rsid w:val="00170B9B"/>
    <w:rsid w:val="001710EA"/>
    <w:rsid w:val="00173A8E"/>
    <w:rsid w:val="0017502C"/>
    <w:rsid w:val="00175425"/>
    <w:rsid w:val="001779DB"/>
    <w:rsid w:val="0018143F"/>
    <w:rsid w:val="00181FF8"/>
    <w:rsid w:val="00183716"/>
    <w:rsid w:val="00183D98"/>
    <w:rsid w:val="0018506D"/>
    <w:rsid w:val="001850DC"/>
    <w:rsid w:val="001859DE"/>
    <w:rsid w:val="001879BC"/>
    <w:rsid w:val="00187AAB"/>
    <w:rsid w:val="001903D1"/>
    <w:rsid w:val="00190AC1"/>
    <w:rsid w:val="00190FDE"/>
    <w:rsid w:val="001910C1"/>
    <w:rsid w:val="00191995"/>
    <w:rsid w:val="00192196"/>
    <w:rsid w:val="00192877"/>
    <w:rsid w:val="0019341A"/>
    <w:rsid w:val="00193B2B"/>
    <w:rsid w:val="001962D5"/>
    <w:rsid w:val="00197BB0"/>
    <w:rsid w:val="00197DF9"/>
    <w:rsid w:val="001A0147"/>
    <w:rsid w:val="001A0280"/>
    <w:rsid w:val="001A0CB9"/>
    <w:rsid w:val="001A152B"/>
    <w:rsid w:val="001A1987"/>
    <w:rsid w:val="001A1BA8"/>
    <w:rsid w:val="001A2564"/>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887"/>
    <w:rsid w:val="001B5A5D"/>
    <w:rsid w:val="001B5EF7"/>
    <w:rsid w:val="001B605E"/>
    <w:rsid w:val="001B622F"/>
    <w:rsid w:val="001B7D13"/>
    <w:rsid w:val="001C1CE5"/>
    <w:rsid w:val="001C207C"/>
    <w:rsid w:val="001C2BDF"/>
    <w:rsid w:val="001C3D2A"/>
    <w:rsid w:val="001C4AC4"/>
    <w:rsid w:val="001C6FF4"/>
    <w:rsid w:val="001D080C"/>
    <w:rsid w:val="001D1874"/>
    <w:rsid w:val="001D4AC3"/>
    <w:rsid w:val="001D51BA"/>
    <w:rsid w:val="001D53E7"/>
    <w:rsid w:val="001D6342"/>
    <w:rsid w:val="001D6D53"/>
    <w:rsid w:val="001D7FD0"/>
    <w:rsid w:val="001E37AB"/>
    <w:rsid w:val="001E47D8"/>
    <w:rsid w:val="001E4C42"/>
    <w:rsid w:val="001E52A9"/>
    <w:rsid w:val="001E54F1"/>
    <w:rsid w:val="001E58E2"/>
    <w:rsid w:val="001E7021"/>
    <w:rsid w:val="001E74B2"/>
    <w:rsid w:val="001E77FF"/>
    <w:rsid w:val="001E7AED"/>
    <w:rsid w:val="001F0912"/>
    <w:rsid w:val="001F0C72"/>
    <w:rsid w:val="001F3916"/>
    <w:rsid w:val="001F49D9"/>
    <w:rsid w:val="001F54C5"/>
    <w:rsid w:val="001F662C"/>
    <w:rsid w:val="001F7074"/>
    <w:rsid w:val="001F786D"/>
    <w:rsid w:val="001F7FE6"/>
    <w:rsid w:val="00200490"/>
    <w:rsid w:val="00200BBF"/>
    <w:rsid w:val="00201EF2"/>
    <w:rsid w:val="00201F3A"/>
    <w:rsid w:val="0020277E"/>
    <w:rsid w:val="002031DD"/>
    <w:rsid w:val="00203F96"/>
    <w:rsid w:val="00204101"/>
    <w:rsid w:val="00205BCD"/>
    <w:rsid w:val="002069B2"/>
    <w:rsid w:val="00206C9B"/>
    <w:rsid w:val="00206FC1"/>
    <w:rsid w:val="00207619"/>
    <w:rsid w:val="00207FA3"/>
    <w:rsid w:val="00210C47"/>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44B"/>
    <w:rsid w:val="0022387B"/>
    <w:rsid w:val="00223FCB"/>
    <w:rsid w:val="00224CEE"/>
    <w:rsid w:val="002252C3"/>
    <w:rsid w:val="00225C54"/>
    <w:rsid w:val="00225E90"/>
    <w:rsid w:val="00227BC8"/>
    <w:rsid w:val="00230765"/>
    <w:rsid w:val="00230D18"/>
    <w:rsid w:val="002317A9"/>
    <w:rsid w:val="002319E4"/>
    <w:rsid w:val="002320FF"/>
    <w:rsid w:val="002321BF"/>
    <w:rsid w:val="00235632"/>
    <w:rsid w:val="00235872"/>
    <w:rsid w:val="00235969"/>
    <w:rsid w:val="00240C61"/>
    <w:rsid w:val="00241559"/>
    <w:rsid w:val="0024192B"/>
    <w:rsid w:val="00241D06"/>
    <w:rsid w:val="00242028"/>
    <w:rsid w:val="002426F9"/>
    <w:rsid w:val="002435B3"/>
    <w:rsid w:val="002458EB"/>
    <w:rsid w:val="00246C38"/>
    <w:rsid w:val="00246F80"/>
    <w:rsid w:val="00247850"/>
    <w:rsid w:val="002500C8"/>
    <w:rsid w:val="002503F7"/>
    <w:rsid w:val="002508D2"/>
    <w:rsid w:val="00251431"/>
    <w:rsid w:val="00252174"/>
    <w:rsid w:val="00252D68"/>
    <w:rsid w:val="00253094"/>
    <w:rsid w:val="002539FC"/>
    <w:rsid w:val="00254391"/>
    <w:rsid w:val="002548CE"/>
    <w:rsid w:val="00254D65"/>
    <w:rsid w:val="002556FA"/>
    <w:rsid w:val="00256A06"/>
    <w:rsid w:val="00256F05"/>
    <w:rsid w:val="00257543"/>
    <w:rsid w:val="0025798B"/>
    <w:rsid w:val="002617E7"/>
    <w:rsid w:val="00261C7F"/>
    <w:rsid w:val="002629D5"/>
    <w:rsid w:val="0026327E"/>
    <w:rsid w:val="00263E97"/>
    <w:rsid w:val="00264228"/>
    <w:rsid w:val="00264334"/>
    <w:rsid w:val="0026473E"/>
    <w:rsid w:val="00265188"/>
    <w:rsid w:val="002651E3"/>
    <w:rsid w:val="00265CD1"/>
    <w:rsid w:val="00266214"/>
    <w:rsid w:val="002667D1"/>
    <w:rsid w:val="0026680D"/>
    <w:rsid w:val="00266909"/>
    <w:rsid w:val="00267C83"/>
    <w:rsid w:val="002704E7"/>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838"/>
    <w:rsid w:val="00287BA2"/>
    <w:rsid w:val="002907B5"/>
    <w:rsid w:val="002925BA"/>
    <w:rsid w:val="00292EB7"/>
    <w:rsid w:val="0029433E"/>
    <w:rsid w:val="00296227"/>
    <w:rsid w:val="002967C5"/>
    <w:rsid w:val="00296F44"/>
    <w:rsid w:val="00297581"/>
    <w:rsid w:val="0029777D"/>
    <w:rsid w:val="002978A5"/>
    <w:rsid w:val="002A02B1"/>
    <w:rsid w:val="002A04C9"/>
    <w:rsid w:val="002A055E"/>
    <w:rsid w:val="002A1D4E"/>
    <w:rsid w:val="002A2869"/>
    <w:rsid w:val="002A4807"/>
    <w:rsid w:val="002A4A53"/>
    <w:rsid w:val="002A5354"/>
    <w:rsid w:val="002A5F6C"/>
    <w:rsid w:val="002B03B6"/>
    <w:rsid w:val="002B0A21"/>
    <w:rsid w:val="002B0F98"/>
    <w:rsid w:val="002B19CD"/>
    <w:rsid w:val="002B2221"/>
    <w:rsid w:val="002B24D6"/>
    <w:rsid w:val="002B41A1"/>
    <w:rsid w:val="002B4FE6"/>
    <w:rsid w:val="002C0C34"/>
    <w:rsid w:val="002C23F4"/>
    <w:rsid w:val="002C3E6C"/>
    <w:rsid w:val="002C41E6"/>
    <w:rsid w:val="002C45C7"/>
    <w:rsid w:val="002C5D1E"/>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E17F2"/>
    <w:rsid w:val="002E2B8F"/>
    <w:rsid w:val="002E2DB7"/>
    <w:rsid w:val="002E67BB"/>
    <w:rsid w:val="002E7133"/>
    <w:rsid w:val="002E7CAE"/>
    <w:rsid w:val="002F04F8"/>
    <w:rsid w:val="002F076B"/>
    <w:rsid w:val="002F1A6F"/>
    <w:rsid w:val="002F2242"/>
    <w:rsid w:val="002F2771"/>
    <w:rsid w:val="002F37A9"/>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0687"/>
    <w:rsid w:val="003112EC"/>
    <w:rsid w:val="00311702"/>
    <w:rsid w:val="00311954"/>
    <w:rsid w:val="00311E82"/>
    <w:rsid w:val="00311FBC"/>
    <w:rsid w:val="00313FD6"/>
    <w:rsid w:val="003143BD"/>
    <w:rsid w:val="003148BF"/>
    <w:rsid w:val="00314F76"/>
    <w:rsid w:val="00314FDB"/>
    <w:rsid w:val="00315363"/>
    <w:rsid w:val="00316603"/>
    <w:rsid w:val="003203ED"/>
    <w:rsid w:val="0032042A"/>
    <w:rsid w:val="00320B75"/>
    <w:rsid w:val="003221C0"/>
    <w:rsid w:val="00322C9F"/>
    <w:rsid w:val="003239E4"/>
    <w:rsid w:val="00324D23"/>
    <w:rsid w:val="00326EFE"/>
    <w:rsid w:val="00327665"/>
    <w:rsid w:val="00331394"/>
    <w:rsid w:val="00331751"/>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1170"/>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A4"/>
    <w:rsid w:val="003742AC"/>
    <w:rsid w:val="00374562"/>
    <w:rsid w:val="00376066"/>
    <w:rsid w:val="00376B02"/>
    <w:rsid w:val="003774AD"/>
    <w:rsid w:val="003776F1"/>
    <w:rsid w:val="00377CE1"/>
    <w:rsid w:val="003803EB"/>
    <w:rsid w:val="00380D23"/>
    <w:rsid w:val="0038171B"/>
    <w:rsid w:val="00382623"/>
    <w:rsid w:val="0038270A"/>
    <w:rsid w:val="00382F20"/>
    <w:rsid w:val="003841CF"/>
    <w:rsid w:val="00384D59"/>
    <w:rsid w:val="00385BF0"/>
    <w:rsid w:val="003866D0"/>
    <w:rsid w:val="00386BA4"/>
    <w:rsid w:val="00386BD4"/>
    <w:rsid w:val="00386EF9"/>
    <w:rsid w:val="0039072D"/>
    <w:rsid w:val="003912F6"/>
    <w:rsid w:val="00392BBE"/>
    <w:rsid w:val="0039323D"/>
    <w:rsid w:val="00393497"/>
    <w:rsid w:val="003939FF"/>
    <w:rsid w:val="00394774"/>
    <w:rsid w:val="00395CF4"/>
    <w:rsid w:val="00396391"/>
    <w:rsid w:val="00397D9A"/>
    <w:rsid w:val="003A0775"/>
    <w:rsid w:val="003A0C63"/>
    <w:rsid w:val="003A12AA"/>
    <w:rsid w:val="003A2223"/>
    <w:rsid w:val="003A2A0F"/>
    <w:rsid w:val="003A2C67"/>
    <w:rsid w:val="003A34E2"/>
    <w:rsid w:val="003A3DF0"/>
    <w:rsid w:val="003A41A5"/>
    <w:rsid w:val="003A45A1"/>
    <w:rsid w:val="003A54A5"/>
    <w:rsid w:val="003A5B0A"/>
    <w:rsid w:val="003A6B47"/>
    <w:rsid w:val="003A6BAC"/>
    <w:rsid w:val="003A70A4"/>
    <w:rsid w:val="003A725A"/>
    <w:rsid w:val="003A7EF3"/>
    <w:rsid w:val="003B14F1"/>
    <w:rsid w:val="003B159C"/>
    <w:rsid w:val="003B1CB6"/>
    <w:rsid w:val="003B2FA9"/>
    <w:rsid w:val="003B3077"/>
    <w:rsid w:val="003B3414"/>
    <w:rsid w:val="003B369F"/>
    <w:rsid w:val="003B36A3"/>
    <w:rsid w:val="003B55DE"/>
    <w:rsid w:val="003B5A36"/>
    <w:rsid w:val="003B64BB"/>
    <w:rsid w:val="003B678B"/>
    <w:rsid w:val="003B6F9E"/>
    <w:rsid w:val="003B7237"/>
    <w:rsid w:val="003B7FE5"/>
    <w:rsid w:val="003C02FD"/>
    <w:rsid w:val="003C070E"/>
    <w:rsid w:val="003C117F"/>
    <w:rsid w:val="003C11C8"/>
    <w:rsid w:val="003C2702"/>
    <w:rsid w:val="003C32D7"/>
    <w:rsid w:val="003C4BCF"/>
    <w:rsid w:val="003C4C33"/>
    <w:rsid w:val="003C5081"/>
    <w:rsid w:val="003C579C"/>
    <w:rsid w:val="003C7806"/>
    <w:rsid w:val="003C7C74"/>
    <w:rsid w:val="003D109F"/>
    <w:rsid w:val="003D1417"/>
    <w:rsid w:val="003D2478"/>
    <w:rsid w:val="003D30F7"/>
    <w:rsid w:val="003D33ED"/>
    <w:rsid w:val="003D3C45"/>
    <w:rsid w:val="003D486D"/>
    <w:rsid w:val="003D5B1F"/>
    <w:rsid w:val="003D5FD3"/>
    <w:rsid w:val="003D6884"/>
    <w:rsid w:val="003E15FA"/>
    <w:rsid w:val="003E1D83"/>
    <w:rsid w:val="003E1F7D"/>
    <w:rsid w:val="003E3B01"/>
    <w:rsid w:val="003E42F3"/>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E50"/>
    <w:rsid w:val="00401A96"/>
    <w:rsid w:val="00402E2B"/>
    <w:rsid w:val="00403246"/>
    <w:rsid w:val="0040406F"/>
    <w:rsid w:val="0040512B"/>
    <w:rsid w:val="00405CA5"/>
    <w:rsid w:val="00406596"/>
    <w:rsid w:val="004075EA"/>
    <w:rsid w:val="00407CD3"/>
    <w:rsid w:val="00410134"/>
    <w:rsid w:val="00410B72"/>
    <w:rsid w:val="00410ECF"/>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7248"/>
    <w:rsid w:val="00427E30"/>
    <w:rsid w:val="004301D4"/>
    <w:rsid w:val="004333CB"/>
    <w:rsid w:val="00433B75"/>
    <w:rsid w:val="00433C3F"/>
    <w:rsid w:val="004342C1"/>
    <w:rsid w:val="00434942"/>
    <w:rsid w:val="00437447"/>
    <w:rsid w:val="00437C7F"/>
    <w:rsid w:val="00437D7A"/>
    <w:rsid w:val="00440E81"/>
    <w:rsid w:val="00441A92"/>
    <w:rsid w:val="00441C42"/>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CAC"/>
    <w:rsid w:val="0045360A"/>
    <w:rsid w:val="00454625"/>
    <w:rsid w:val="00454C7C"/>
    <w:rsid w:val="00455239"/>
    <w:rsid w:val="00455E5B"/>
    <w:rsid w:val="00456509"/>
    <w:rsid w:val="00457565"/>
    <w:rsid w:val="00457B71"/>
    <w:rsid w:val="00460411"/>
    <w:rsid w:val="0046177E"/>
    <w:rsid w:val="004636F9"/>
    <w:rsid w:val="00464AA6"/>
    <w:rsid w:val="00464D29"/>
    <w:rsid w:val="004651EC"/>
    <w:rsid w:val="0046571A"/>
    <w:rsid w:val="00465C60"/>
    <w:rsid w:val="0046691B"/>
    <w:rsid w:val="004669E2"/>
    <w:rsid w:val="00467741"/>
    <w:rsid w:val="004678B3"/>
    <w:rsid w:val="00467D96"/>
    <w:rsid w:val="00470C31"/>
    <w:rsid w:val="00471BE8"/>
    <w:rsid w:val="00471DDD"/>
    <w:rsid w:val="00471DE0"/>
    <w:rsid w:val="00471F58"/>
    <w:rsid w:val="00472601"/>
    <w:rsid w:val="00472EF8"/>
    <w:rsid w:val="004734D0"/>
    <w:rsid w:val="00473A67"/>
    <w:rsid w:val="0047556B"/>
    <w:rsid w:val="00475F9A"/>
    <w:rsid w:val="00476AAB"/>
    <w:rsid w:val="00476E45"/>
    <w:rsid w:val="00477768"/>
    <w:rsid w:val="004830AC"/>
    <w:rsid w:val="0048351B"/>
    <w:rsid w:val="00485058"/>
    <w:rsid w:val="00486018"/>
    <w:rsid w:val="004871EA"/>
    <w:rsid w:val="00490F35"/>
    <w:rsid w:val="004914B5"/>
    <w:rsid w:val="00492BC5"/>
    <w:rsid w:val="00492EBD"/>
    <w:rsid w:val="004933AF"/>
    <w:rsid w:val="00493EA5"/>
    <w:rsid w:val="004952B1"/>
    <w:rsid w:val="0049585B"/>
    <w:rsid w:val="004964F1"/>
    <w:rsid w:val="00497B03"/>
    <w:rsid w:val="004A1390"/>
    <w:rsid w:val="004A16BC"/>
    <w:rsid w:val="004A23F9"/>
    <w:rsid w:val="004A2B94"/>
    <w:rsid w:val="004A2D00"/>
    <w:rsid w:val="004A3ADA"/>
    <w:rsid w:val="004A5400"/>
    <w:rsid w:val="004A648C"/>
    <w:rsid w:val="004B044E"/>
    <w:rsid w:val="004B335E"/>
    <w:rsid w:val="004B3C54"/>
    <w:rsid w:val="004B4429"/>
    <w:rsid w:val="004B4A45"/>
    <w:rsid w:val="004B5031"/>
    <w:rsid w:val="004B6F6A"/>
    <w:rsid w:val="004B7C0C"/>
    <w:rsid w:val="004B7CE5"/>
    <w:rsid w:val="004C0C10"/>
    <w:rsid w:val="004C0F67"/>
    <w:rsid w:val="004C10AF"/>
    <w:rsid w:val="004C3898"/>
    <w:rsid w:val="004C3C97"/>
    <w:rsid w:val="004C570D"/>
    <w:rsid w:val="004C7930"/>
    <w:rsid w:val="004D0054"/>
    <w:rsid w:val="004D1041"/>
    <w:rsid w:val="004D18AC"/>
    <w:rsid w:val="004D36B1"/>
    <w:rsid w:val="004D7669"/>
    <w:rsid w:val="004D7EBD"/>
    <w:rsid w:val="004E16BB"/>
    <w:rsid w:val="004E2680"/>
    <w:rsid w:val="004E28F9"/>
    <w:rsid w:val="004E322D"/>
    <w:rsid w:val="004E462E"/>
    <w:rsid w:val="004E46C3"/>
    <w:rsid w:val="004E4F4D"/>
    <w:rsid w:val="004E5008"/>
    <w:rsid w:val="004E56DC"/>
    <w:rsid w:val="004E65FE"/>
    <w:rsid w:val="004E76F4"/>
    <w:rsid w:val="004F0B4E"/>
    <w:rsid w:val="004F0B6C"/>
    <w:rsid w:val="004F198E"/>
    <w:rsid w:val="004F1A3F"/>
    <w:rsid w:val="004F2078"/>
    <w:rsid w:val="004F2110"/>
    <w:rsid w:val="004F4A2A"/>
    <w:rsid w:val="004F4BF6"/>
    <w:rsid w:val="004F4DA3"/>
    <w:rsid w:val="004F4E4E"/>
    <w:rsid w:val="004F4FE8"/>
    <w:rsid w:val="004F6224"/>
    <w:rsid w:val="00501B24"/>
    <w:rsid w:val="00501C57"/>
    <w:rsid w:val="005032ED"/>
    <w:rsid w:val="00504E39"/>
    <w:rsid w:val="005051C5"/>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50CE"/>
    <w:rsid w:val="005153A7"/>
    <w:rsid w:val="005159BB"/>
    <w:rsid w:val="00516760"/>
    <w:rsid w:val="00517E03"/>
    <w:rsid w:val="0052116E"/>
    <w:rsid w:val="0052164F"/>
    <w:rsid w:val="005219CF"/>
    <w:rsid w:val="00522592"/>
    <w:rsid w:val="00523578"/>
    <w:rsid w:val="005239C7"/>
    <w:rsid w:val="00526E99"/>
    <w:rsid w:val="00526ECA"/>
    <w:rsid w:val="00527742"/>
    <w:rsid w:val="00530895"/>
    <w:rsid w:val="00534A4A"/>
    <w:rsid w:val="00534B59"/>
    <w:rsid w:val="005359B5"/>
    <w:rsid w:val="00535B88"/>
    <w:rsid w:val="00536759"/>
    <w:rsid w:val="00536A43"/>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0B0C"/>
    <w:rsid w:val="00551A99"/>
    <w:rsid w:val="00551C7E"/>
    <w:rsid w:val="00552858"/>
    <w:rsid w:val="00552BA1"/>
    <w:rsid w:val="00553A92"/>
    <w:rsid w:val="00553BD3"/>
    <w:rsid w:val="00554E19"/>
    <w:rsid w:val="00555E40"/>
    <w:rsid w:val="00556294"/>
    <w:rsid w:val="00557606"/>
    <w:rsid w:val="00557FF6"/>
    <w:rsid w:val="005606F5"/>
    <w:rsid w:val="0056121F"/>
    <w:rsid w:val="0056208A"/>
    <w:rsid w:val="005626F0"/>
    <w:rsid w:val="0056318C"/>
    <w:rsid w:val="00563A71"/>
    <w:rsid w:val="00563A8F"/>
    <w:rsid w:val="00564380"/>
    <w:rsid w:val="00564EE0"/>
    <w:rsid w:val="00565968"/>
    <w:rsid w:val="00570D29"/>
    <w:rsid w:val="005718C6"/>
    <w:rsid w:val="00572313"/>
    <w:rsid w:val="005723B5"/>
    <w:rsid w:val="00572505"/>
    <w:rsid w:val="005757B1"/>
    <w:rsid w:val="00577399"/>
    <w:rsid w:val="005808C3"/>
    <w:rsid w:val="00581017"/>
    <w:rsid w:val="005814A3"/>
    <w:rsid w:val="005819E4"/>
    <w:rsid w:val="00581B9A"/>
    <w:rsid w:val="0058250D"/>
    <w:rsid w:val="00582809"/>
    <w:rsid w:val="00586940"/>
    <w:rsid w:val="005874CA"/>
    <w:rsid w:val="0058798C"/>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C022A"/>
    <w:rsid w:val="005C02AA"/>
    <w:rsid w:val="005C0C1C"/>
    <w:rsid w:val="005C1141"/>
    <w:rsid w:val="005C17A9"/>
    <w:rsid w:val="005C2D66"/>
    <w:rsid w:val="005C4499"/>
    <w:rsid w:val="005C4978"/>
    <w:rsid w:val="005C598E"/>
    <w:rsid w:val="005C74FB"/>
    <w:rsid w:val="005C7A25"/>
    <w:rsid w:val="005C7D0D"/>
    <w:rsid w:val="005C7F6B"/>
    <w:rsid w:val="005D00F5"/>
    <w:rsid w:val="005D06FA"/>
    <w:rsid w:val="005D1602"/>
    <w:rsid w:val="005D18A0"/>
    <w:rsid w:val="005D3670"/>
    <w:rsid w:val="005D4F64"/>
    <w:rsid w:val="005D5819"/>
    <w:rsid w:val="005D62C1"/>
    <w:rsid w:val="005D6AF4"/>
    <w:rsid w:val="005D7564"/>
    <w:rsid w:val="005E03E8"/>
    <w:rsid w:val="005E0C01"/>
    <w:rsid w:val="005E33AA"/>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29E"/>
    <w:rsid w:val="005F5351"/>
    <w:rsid w:val="005F5545"/>
    <w:rsid w:val="005F5D69"/>
    <w:rsid w:val="005F6064"/>
    <w:rsid w:val="005F618C"/>
    <w:rsid w:val="005F70BD"/>
    <w:rsid w:val="00600FB3"/>
    <w:rsid w:val="006015B4"/>
    <w:rsid w:val="00601FB9"/>
    <w:rsid w:val="0060283C"/>
    <w:rsid w:val="006049FF"/>
    <w:rsid w:val="00604F14"/>
    <w:rsid w:val="0061021B"/>
    <w:rsid w:val="00611137"/>
    <w:rsid w:val="00611B83"/>
    <w:rsid w:val="0061231E"/>
    <w:rsid w:val="0061256E"/>
    <w:rsid w:val="00612B61"/>
    <w:rsid w:val="00612C27"/>
    <w:rsid w:val="00613257"/>
    <w:rsid w:val="006154C0"/>
    <w:rsid w:val="006159CA"/>
    <w:rsid w:val="00616F4C"/>
    <w:rsid w:val="00617546"/>
    <w:rsid w:val="00620A71"/>
    <w:rsid w:val="00620BAF"/>
    <w:rsid w:val="00620D80"/>
    <w:rsid w:val="006234A6"/>
    <w:rsid w:val="006238F9"/>
    <w:rsid w:val="0062505A"/>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208D"/>
    <w:rsid w:val="00643475"/>
    <w:rsid w:val="0064396A"/>
    <w:rsid w:val="00645586"/>
    <w:rsid w:val="0064624E"/>
    <w:rsid w:val="00646F2A"/>
    <w:rsid w:val="0065092B"/>
    <w:rsid w:val="00650AB9"/>
    <w:rsid w:val="00651147"/>
    <w:rsid w:val="00651440"/>
    <w:rsid w:val="00651636"/>
    <w:rsid w:val="00651D49"/>
    <w:rsid w:val="00653232"/>
    <w:rsid w:val="00655733"/>
    <w:rsid w:val="00655ACD"/>
    <w:rsid w:val="00656A92"/>
    <w:rsid w:val="00656DDE"/>
    <w:rsid w:val="0066011D"/>
    <w:rsid w:val="006607C0"/>
    <w:rsid w:val="006613A6"/>
    <w:rsid w:val="006620A0"/>
    <w:rsid w:val="006627A2"/>
    <w:rsid w:val="006634E6"/>
    <w:rsid w:val="006646DC"/>
    <w:rsid w:val="00665408"/>
    <w:rsid w:val="006655EE"/>
    <w:rsid w:val="00667620"/>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1A2E"/>
    <w:rsid w:val="00682903"/>
    <w:rsid w:val="00682BA2"/>
    <w:rsid w:val="0068380C"/>
    <w:rsid w:val="00683AB8"/>
    <w:rsid w:val="00683ECE"/>
    <w:rsid w:val="00684055"/>
    <w:rsid w:val="006845D2"/>
    <w:rsid w:val="006848C2"/>
    <w:rsid w:val="00684BAE"/>
    <w:rsid w:val="00684BF9"/>
    <w:rsid w:val="0068507A"/>
    <w:rsid w:val="00685BC7"/>
    <w:rsid w:val="00686082"/>
    <w:rsid w:val="0068646B"/>
    <w:rsid w:val="0069027E"/>
    <w:rsid w:val="00690D5B"/>
    <w:rsid w:val="00691710"/>
    <w:rsid w:val="0069240D"/>
    <w:rsid w:val="00692424"/>
    <w:rsid w:val="00692948"/>
    <w:rsid w:val="0069317F"/>
    <w:rsid w:val="00693788"/>
    <w:rsid w:val="00693E16"/>
    <w:rsid w:val="00694B2E"/>
    <w:rsid w:val="006957A1"/>
    <w:rsid w:val="00695DF3"/>
    <w:rsid w:val="00695FC2"/>
    <w:rsid w:val="00696949"/>
    <w:rsid w:val="00696C4B"/>
    <w:rsid w:val="00697052"/>
    <w:rsid w:val="006A0363"/>
    <w:rsid w:val="006A0C0D"/>
    <w:rsid w:val="006A2E93"/>
    <w:rsid w:val="006A3ED9"/>
    <w:rsid w:val="006A46FB"/>
    <w:rsid w:val="006A4C62"/>
    <w:rsid w:val="006A5BF6"/>
    <w:rsid w:val="006A5E28"/>
    <w:rsid w:val="006A697B"/>
    <w:rsid w:val="006A711D"/>
    <w:rsid w:val="006A7AFF"/>
    <w:rsid w:val="006A7C2D"/>
    <w:rsid w:val="006B1816"/>
    <w:rsid w:val="006B2099"/>
    <w:rsid w:val="006B2B92"/>
    <w:rsid w:val="006B3530"/>
    <w:rsid w:val="006B4143"/>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D02"/>
    <w:rsid w:val="006D2228"/>
    <w:rsid w:val="006D25A1"/>
    <w:rsid w:val="006D44B8"/>
    <w:rsid w:val="006D51F7"/>
    <w:rsid w:val="006D664D"/>
    <w:rsid w:val="006D6DC4"/>
    <w:rsid w:val="006D6F08"/>
    <w:rsid w:val="006D719D"/>
    <w:rsid w:val="006D7F4B"/>
    <w:rsid w:val="006E062C"/>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54E7"/>
    <w:rsid w:val="006F58D4"/>
    <w:rsid w:val="006F6582"/>
    <w:rsid w:val="006F77E2"/>
    <w:rsid w:val="006F7F01"/>
    <w:rsid w:val="00700337"/>
    <w:rsid w:val="0070076F"/>
    <w:rsid w:val="00700D8E"/>
    <w:rsid w:val="00702405"/>
    <w:rsid w:val="00702754"/>
    <w:rsid w:val="0070346E"/>
    <w:rsid w:val="00703E63"/>
    <w:rsid w:val="00704EDB"/>
    <w:rsid w:val="00705708"/>
    <w:rsid w:val="00705FAF"/>
    <w:rsid w:val="00706101"/>
    <w:rsid w:val="007061A6"/>
    <w:rsid w:val="00706B05"/>
    <w:rsid w:val="00707072"/>
    <w:rsid w:val="00707D61"/>
    <w:rsid w:val="00707E7F"/>
    <w:rsid w:val="007102DC"/>
    <w:rsid w:val="00712287"/>
    <w:rsid w:val="00712772"/>
    <w:rsid w:val="00712945"/>
    <w:rsid w:val="007148D3"/>
    <w:rsid w:val="00715B9A"/>
    <w:rsid w:val="00715D2A"/>
    <w:rsid w:val="007165F2"/>
    <w:rsid w:val="00716A45"/>
    <w:rsid w:val="00716BFD"/>
    <w:rsid w:val="0071768E"/>
    <w:rsid w:val="00724FCB"/>
    <w:rsid w:val="00725512"/>
    <w:rsid w:val="007257D0"/>
    <w:rsid w:val="00725E88"/>
    <w:rsid w:val="00726C05"/>
    <w:rsid w:val="00726EA6"/>
    <w:rsid w:val="00727208"/>
    <w:rsid w:val="00727680"/>
    <w:rsid w:val="0073035B"/>
    <w:rsid w:val="00730FAF"/>
    <w:rsid w:val="007310ED"/>
    <w:rsid w:val="00731689"/>
    <w:rsid w:val="00731FB2"/>
    <w:rsid w:val="00732C81"/>
    <w:rsid w:val="007333EB"/>
    <w:rsid w:val="00733A2C"/>
    <w:rsid w:val="007348B1"/>
    <w:rsid w:val="00734EC1"/>
    <w:rsid w:val="00735AE4"/>
    <w:rsid w:val="007362A6"/>
    <w:rsid w:val="00736D7D"/>
    <w:rsid w:val="00737B7F"/>
    <w:rsid w:val="00740E58"/>
    <w:rsid w:val="0074271D"/>
    <w:rsid w:val="007435A5"/>
    <w:rsid w:val="00743E23"/>
    <w:rsid w:val="007445A0"/>
    <w:rsid w:val="0074524B"/>
    <w:rsid w:val="00746125"/>
    <w:rsid w:val="007468CB"/>
    <w:rsid w:val="00747D8B"/>
    <w:rsid w:val="00751228"/>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5281"/>
    <w:rsid w:val="007664DD"/>
    <w:rsid w:val="00766BAD"/>
    <w:rsid w:val="007678F9"/>
    <w:rsid w:val="0077018D"/>
    <w:rsid w:val="007718FE"/>
    <w:rsid w:val="0077277D"/>
    <w:rsid w:val="007729A2"/>
    <w:rsid w:val="0077467A"/>
    <w:rsid w:val="00774C3A"/>
    <w:rsid w:val="007755F2"/>
    <w:rsid w:val="00775687"/>
    <w:rsid w:val="00776410"/>
    <w:rsid w:val="00776811"/>
    <w:rsid w:val="00776871"/>
    <w:rsid w:val="00776971"/>
    <w:rsid w:val="00777E77"/>
    <w:rsid w:val="00780A80"/>
    <w:rsid w:val="00780ADF"/>
    <w:rsid w:val="00781045"/>
    <w:rsid w:val="007812D4"/>
    <w:rsid w:val="0078145E"/>
    <w:rsid w:val="0078177E"/>
    <w:rsid w:val="00781BA6"/>
    <w:rsid w:val="00781F05"/>
    <w:rsid w:val="0078304C"/>
    <w:rsid w:val="00783673"/>
    <w:rsid w:val="00783C38"/>
    <w:rsid w:val="00784AFF"/>
    <w:rsid w:val="00784F6B"/>
    <w:rsid w:val="00785490"/>
    <w:rsid w:val="00787B0E"/>
    <w:rsid w:val="007925EA"/>
    <w:rsid w:val="00792A77"/>
    <w:rsid w:val="007930A9"/>
    <w:rsid w:val="00793404"/>
    <w:rsid w:val="00793CD8"/>
    <w:rsid w:val="00794DCE"/>
    <w:rsid w:val="00795C71"/>
    <w:rsid w:val="00795C92"/>
    <w:rsid w:val="00795DF7"/>
    <w:rsid w:val="00796231"/>
    <w:rsid w:val="00796FFD"/>
    <w:rsid w:val="00797F12"/>
    <w:rsid w:val="007A0E7B"/>
    <w:rsid w:val="007A1CB3"/>
    <w:rsid w:val="007A2EE1"/>
    <w:rsid w:val="007A306F"/>
    <w:rsid w:val="007A41EA"/>
    <w:rsid w:val="007A43A6"/>
    <w:rsid w:val="007A4A69"/>
    <w:rsid w:val="007A4F53"/>
    <w:rsid w:val="007A58A6"/>
    <w:rsid w:val="007A5ADC"/>
    <w:rsid w:val="007A5D7A"/>
    <w:rsid w:val="007B1D53"/>
    <w:rsid w:val="007B24F1"/>
    <w:rsid w:val="007B2CB4"/>
    <w:rsid w:val="007B368A"/>
    <w:rsid w:val="007B39E1"/>
    <w:rsid w:val="007B3D2D"/>
    <w:rsid w:val="007B4464"/>
    <w:rsid w:val="007B45E4"/>
    <w:rsid w:val="007B50AE"/>
    <w:rsid w:val="007B51DF"/>
    <w:rsid w:val="007B5A07"/>
    <w:rsid w:val="007B619D"/>
    <w:rsid w:val="007B692C"/>
    <w:rsid w:val="007B7514"/>
    <w:rsid w:val="007C05DD"/>
    <w:rsid w:val="007C0E06"/>
    <w:rsid w:val="007C1A70"/>
    <w:rsid w:val="007C1BB7"/>
    <w:rsid w:val="007C3D18"/>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1F0"/>
    <w:rsid w:val="007E168F"/>
    <w:rsid w:val="007E1D90"/>
    <w:rsid w:val="007E4610"/>
    <w:rsid w:val="007E4715"/>
    <w:rsid w:val="007E505B"/>
    <w:rsid w:val="007E646E"/>
    <w:rsid w:val="007E7091"/>
    <w:rsid w:val="007F0B5A"/>
    <w:rsid w:val="007F22F7"/>
    <w:rsid w:val="007F37AE"/>
    <w:rsid w:val="00801A00"/>
    <w:rsid w:val="00801ACF"/>
    <w:rsid w:val="00801C92"/>
    <w:rsid w:val="00802B94"/>
    <w:rsid w:val="008031A4"/>
    <w:rsid w:val="00803279"/>
    <w:rsid w:val="00803FAE"/>
    <w:rsid w:val="00804BC6"/>
    <w:rsid w:val="0080605F"/>
    <w:rsid w:val="0080641A"/>
    <w:rsid w:val="00807786"/>
    <w:rsid w:val="00811FCB"/>
    <w:rsid w:val="00813E75"/>
    <w:rsid w:val="008148D5"/>
    <w:rsid w:val="00815321"/>
    <w:rsid w:val="008158D6"/>
    <w:rsid w:val="00817196"/>
    <w:rsid w:val="00817BC4"/>
    <w:rsid w:val="00817E91"/>
    <w:rsid w:val="00817F2F"/>
    <w:rsid w:val="00820102"/>
    <w:rsid w:val="00820D30"/>
    <w:rsid w:val="00821C2B"/>
    <w:rsid w:val="008235DB"/>
    <w:rsid w:val="008240A3"/>
    <w:rsid w:val="00824AB4"/>
    <w:rsid w:val="0082508F"/>
    <w:rsid w:val="00825C42"/>
    <w:rsid w:val="00825D25"/>
    <w:rsid w:val="00825D7C"/>
    <w:rsid w:val="00827313"/>
    <w:rsid w:val="00827D6F"/>
    <w:rsid w:val="0083134C"/>
    <w:rsid w:val="00833F37"/>
    <w:rsid w:val="00833F83"/>
    <w:rsid w:val="00835E1C"/>
    <w:rsid w:val="00836E12"/>
    <w:rsid w:val="00836FC4"/>
    <w:rsid w:val="008376AC"/>
    <w:rsid w:val="00837BD4"/>
    <w:rsid w:val="008409F6"/>
    <w:rsid w:val="0084122B"/>
    <w:rsid w:val="00841DB4"/>
    <w:rsid w:val="008422F5"/>
    <w:rsid w:val="0084252B"/>
    <w:rsid w:val="008444E8"/>
    <w:rsid w:val="0084450D"/>
    <w:rsid w:val="00844E80"/>
    <w:rsid w:val="00846FE7"/>
    <w:rsid w:val="008478F9"/>
    <w:rsid w:val="00847E11"/>
    <w:rsid w:val="00850627"/>
    <w:rsid w:val="00851649"/>
    <w:rsid w:val="00852D04"/>
    <w:rsid w:val="00854CE1"/>
    <w:rsid w:val="00855ED3"/>
    <w:rsid w:val="00856911"/>
    <w:rsid w:val="008570FE"/>
    <w:rsid w:val="008572FD"/>
    <w:rsid w:val="0086200C"/>
    <w:rsid w:val="008626AB"/>
    <w:rsid w:val="00864885"/>
    <w:rsid w:val="00864BD4"/>
    <w:rsid w:val="00866E1D"/>
    <w:rsid w:val="0086707C"/>
    <w:rsid w:val="008676AD"/>
    <w:rsid w:val="008677FD"/>
    <w:rsid w:val="008706D4"/>
    <w:rsid w:val="008709B7"/>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62B5"/>
    <w:rsid w:val="00886408"/>
    <w:rsid w:val="008870A3"/>
    <w:rsid w:val="0089138A"/>
    <w:rsid w:val="00891BB5"/>
    <w:rsid w:val="00891F54"/>
    <w:rsid w:val="00891F7C"/>
    <w:rsid w:val="0089220C"/>
    <w:rsid w:val="008930F3"/>
    <w:rsid w:val="008931AF"/>
    <w:rsid w:val="008941E3"/>
    <w:rsid w:val="00894A88"/>
    <w:rsid w:val="00895386"/>
    <w:rsid w:val="00895540"/>
    <w:rsid w:val="00895883"/>
    <w:rsid w:val="008961F3"/>
    <w:rsid w:val="00896595"/>
    <w:rsid w:val="008978A9"/>
    <w:rsid w:val="008A1996"/>
    <w:rsid w:val="008A21FF"/>
    <w:rsid w:val="008A2CE2"/>
    <w:rsid w:val="008A30AC"/>
    <w:rsid w:val="008A31A8"/>
    <w:rsid w:val="008A44B8"/>
    <w:rsid w:val="008A51A8"/>
    <w:rsid w:val="008A54C7"/>
    <w:rsid w:val="008A6253"/>
    <w:rsid w:val="008A6729"/>
    <w:rsid w:val="008A77D8"/>
    <w:rsid w:val="008B0483"/>
    <w:rsid w:val="008B082C"/>
    <w:rsid w:val="008B120C"/>
    <w:rsid w:val="008B1373"/>
    <w:rsid w:val="008B1661"/>
    <w:rsid w:val="008B1FB7"/>
    <w:rsid w:val="008B5010"/>
    <w:rsid w:val="008B51A0"/>
    <w:rsid w:val="008B592A"/>
    <w:rsid w:val="008B5AEC"/>
    <w:rsid w:val="008B5B1F"/>
    <w:rsid w:val="008B60A1"/>
    <w:rsid w:val="008B708D"/>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4F1"/>
    <w:rsid w:val="008D370F"/>
    <w:rsid w:val="008D39D8"/>
    <w:rsid w:val="008D47C0"/>
    <w:rsid w:val="008D6403"/>
    <w:rsid w:val="008D6451"/>
    <w:rsid w:val="008D668C"/>
    <w:rsid w:val="008D69D8"/>
    <w:rsid w:val="008D6B14"/>
    <w:rsid w:val="008D6D1A"/>
    <w:rsid w:val="008E065E"/>
    <w:rsid w:val="008E0927"/>
    <w:rsid w:val="008E1909"/>
    <w:rsid w:val="008E3EF9"/>
    <w:rsid w:val="008E4286"/>
    <w:rsid w:val="008E50B8"/>
    <w:rsid w:val="008E6043"/>
    <w:rsid w:val="008E66CC"/>
    <w:rsid w:val="008E73A4"/>
    <w:rsid w:val="008F0718"/>
    <w:rsid w:val="008F0FB7"/>
    <w:rsid w:val="008F1EAB"/>
    <w:rsid w:val="008F33DC"/>
    <w:rsid w:val="008F477F"/>
    <w:rsid w:val="008F4AF0"/>
    <w:rsid w:val="008F4C3F"/>
    <w:rsid w:val="00900212"/>
    <w:rsid w:val="00901AC0"/>
    <w:rsid w:val="00902350"/>
    <w:rsid w:val="0090290D"/>
    <w:rsid w:val="0090336B"/>
    <w:rsid w:val="00903B15"/>
    <w:rsid w:val="009053AA"/>
    <w:rsid w:val="009053C7"/>
    <w:rsid w:val="00906016"/>
    <w:rsid w:val="00906939"/>
    <w:rsid w:val="00906CDE"/>
    <w:rsid w:val="00910499"/>
    <w:rsid w:val="00910B7D"/>
    <w:rsid w:val="00911A15"/>
    <w:rsid w:val="00911DFB"/>
    <w:rsid w:val="009122CB"/>
    <w:rsid w:val="009136DF"/>
    <w:rsid w:val="0091389E"/>
    <w:rsid w:val="009139D9"/>
    <w:rsid w:val="00913DAA"/>
    <w:rsid w:val="00914AD8"/>
    <w:rsid w:val="009152C0"/>
    <w:rsid w:val="00916079"/>
    <w:rsid w:val="00916520"/>
    <w:rsid w:val="009177B7"/>
    <w:rsid w:val="0091791C"/>
    <w:rsid w:val="00917CE9"/>
    <w:rsid w:val="00920731"/>
    <w:rsid w:val="00920BF2"/>
    <w:rsid w:val="00920D1D"/>
    <w:rsid w:val="00920FDC"/>
    <w:rsid w:val="009210A2"/>
    <w:rsid w:val="00922010"/>
    <w:rsid w:val="00922829"/>
    <w:rsid w:val="00922B92"/>
    <w:rsid w:val="009230D7"/>
    <w:rsid w:val="00931BD9"/>
    <w:rsid w:val="00932AB1"/>
    <w:rsid w:val="00932D89"/>
    <w:rsid w:val="00932F86"/>
    <w:rsid w:val="00934AF5"/>
    <w:rsid w:val="00935D2F"/>
    <w:rsid w:val="009368F3"/>
    <w:rsid w:val="00936D11"/>
    <w:rsid w:val="009373D8"/>
    <w:rsid w:val="00937871"/>
    <w:rsid w:val="00937B32"/>
    <w:rsid w:val="0094033A"/>
    <w:rsid w:val="00940D37"/>
    <w:rsid w:val="00941636"/>
    <w:rsid w:val="009426DC"/>
    <w:rsid w:val="00943742"/>
    <w:rsid w:val="00943CA1"/>
    <w:rsid w:val="00945866"/>
    <w:rsid w:val="00945C00"/>
    <w:rsid w:val="00945C05"/>
    <w:rsid w:val="009467CA"/>
    <w:rsid w:val="00946945"/>
    <w:rsid w:val="00947713"/>
    <w:rsid w:val="00947C9C"/>
    <w:rsid w:val="00950DE7"/>
    <w:rsid w:val="0095117C"/>
    <w:rsid w:val="009515F1"/>
    <w:rsid w:val="00952169"/>
    <w:rsid w:val="00953920"/>
    <w:rsid w:val="00953D47"/>
    <w:rsid w:val="00954C40"/>
    <w:rsid w:val="0095598F"/>
    <w:rsid w:val="00955ABA"/>
    <w:rsid w:val="0095681E"/>
    <w:rsid w:val="009572D4"/>
    <w:rsid w:val="00957BE1"/>
    <w:rsid w:val="00961921"/>
    <w:rsid w:val="00962A1C"/>
    <w:rsid w:val="009630EC"/>
    <w:rsid w:val="0096430A"/>
    <w:rsid w:val="00964C60"/>
    <w:rsid w:val="0096554B"/>
    <w:rsid w:val="0096584A"/>
    <w:rsid w:val="00965FB7"/>
    <w:rsid w:val="00967B4F"/>
    <w:rsid w:val="0097014A"/>
    <w:rsid w:val="00971F08"/>
    <w:rsid w:val="009725D7"/>
    <w:rsid w:val="0097261E"/>
    <w:rsid w:val="00972D17"/>
    <w:rsid w:val="00973321"/>
    <w:rsid w:val="00974DFB"/>
    <w:rsid w:val="0097603D"/>
    <w:rsid w:val="00976931"/>
    <w:rsid w:val="00976949"/>
    <w:rsid w:val="00976D6E"/>
    <w:rsid w:val="00977DBE"/>
    <w:rsid w:val="009800DC"/>
    <w:rsid w:val="009801CD"/>
    <w:rsid w:val="00980477"/>
    <w:rsid w:val="00980499"/>
    <w:rsid w:val="00980B76"/>
    <w:rsid w:val="00980FDE"/>
    <w:rsid w:val="00981A4B"/>
    <w:rsid w:val="00982492"/>
    <w:rsid w:val="009840A8"/>
    <w:rsid w:val="00985253"/>
    <w:rsid w:val="009853B3"/>
    <w:rsid w:val="00987F1F"/>
    <w:rsid w:val="00990630"/>
    <w:rsid w:val="0099074A"/>
    <w:rsid w:val="00991562"/>
    <w:rsid w:val="009915A5"/>
    <w:rsid w:val="00991761"/>
    <w:rsid w:val="00994DCA"/>
    <w:rsid w:val="0099566C"/>
    <w:rsid w:val="00995A51"/>
    <w:rsid w:val="009960EC"/>
    <w:rsid w:val="00996CBA"/>
    <w:rsid w:val="009970DD"/>
    <w:rsid w:val="00997D5F"/>
    <w:rsid w:val="009A0333"/>
    <w:rsid w:val="009A0B11"/>
    <w:rsid w:val="009A0EFF"/>
    <w:rsid w:val="009A0FBA"/>
    <w:rsid w:val="009A1601"/>
    <w:rsid w:val="009A2DE9"/>
    <w:rsid w:val="009A3BB6"/>
    <w:rsid w:val="009A3BD6"/>
    <w:rsid w:val="009A4187"/>
    <w:rsid w:val="009A462D"/>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DF4"/>
    <w:rsid w:val="009B564E"/>
    <w:rsid w:val="009B7597"/>
    <w:rsid w:val="009B7E87"/>
    <w:rsid w:val="009B7F36"/>
    <w:rsid w:val="009C0169"/>
    <w:rsid w:val="009C0447"/>
    <w:rsid w:val="009C28E1"/>
    <w:rsid w:val="009C2912"/>
    <w:rsid w:val="009C36A8"/>
    <w:rsid w:val="009C403E"/>
    <w:rsid w:val="009C49E6"/>
    <w:rsid w:val="009C6739"/>
    <w:rsid w:val="009C6E11"/>
    <w:rsid w:val="009D00F3"/>
    <w:rsid w:val="009D3282"/>
    <w:rsid w:val="009D3761"/>
    <w:rsid w:val="009D4FF0"/>
    <w:rsid w:val="009D6097"/>
    <w:rsid w:val="009D68F1"/>
    <w:rsid w:val="009D6C93"/>
    <w:rsid w:val="009D700D"/>
    <w:rsid w:val="009D703C"/>
    <w:rsid w:val="009D718F"/>
    <w:rsid w:val="009D7722"/>
    <w:rsid w:val="009E068F"/>
    <w:rsid w:val="009E14E0"/>
    <w:rsid w:val="009E1BC1"/>
    <w:rsid w:val="009E33E6"/>
    <w:rsid w:val="009E35DB"/>
    <w:rsid w:val="009E3D05"/>
    <w:rsid w:val="009E3DC6"/>
    <w:rsid w:val="009E47A3"/>
    <w:rsid w:val="009E5512"/>
    <w:rsid w:val="009E6354"/>
    <w:rsid w:val="009E7EEB"/>
    <w:rsid w:val="009F02C3"/>
    <w:rsid w:val="009F02F4"/>
    <w:rsid w:val="009F08F3"/>
    <w:rsid w:val="009F0AF1"/>
    <w:rsid w:val="009F161B"/>
    <w:rsid w:val="009F16F5"/>
    <w:rsid w:val="009F190E"/>
    <w:rsid w:val="009F2205"/>
    <w:rsid w:val="009F344F"/>
    <w:rsid w:val="009F393B"/>
    <w:rsid w:val="009F4713"/>
    <w:rsid w:val="009F5A30"/>
    <w:rsid w:val="009F7D43"/>
    <w:rsid w:val="00A01179"/>
    <w:rsid w:val="00A02126"/>
    <w:rsid w:val="00A031D8"/>
    <w:rsid w:val="00A03C86"/>
    <w:rsid w:val="00A048A8"/>
    <w:rsid w:val="00A04E4A"/>
    <w:rsid w:val="00A04F49"/>
    <w:rsid w:val="00A056F8"/>
    <w:rsid w:val="00A062C9"/>
    <w:rsid w:val="00A0670D"/>
    <w:rsid w:val="00A06A31"/>
    <w:rsid w:val="00A07825"/>
    <w:rsid w:val="00A10969"/>
    <w:rsid w:val="00A1338B"/>
    <w:rsid w:val="00A13E54"/>
    <w:rsid w:val="00A16103"/>
    <w:rsid w:val="00A1645F"/>
    <w:rsid w:val="00A17F63"/>
    <w:rsid w:val="00A20205"/>
    <w:rsid w:val="00A20906"/>
    <w:rsid w:val="00A20F99"/>
    <w:rsid w:val="00A21335"/>
    <w:rsid w:val="00A2193B"/>
    <w:rsid w:val="00A2351A"/>
    <w:rsid w:val="00A23681"/>
    <w:rsid w:val="00A24EFE"/>
    <w:rsid w:val="00A25CB2"/>
    <w:rsid w:val="00A264A9"/>
    <w:rsid w:val="00A26DCF"/>
    <w:rsid w:val="00A26E84"/>
    <w:rsid w:val="00A27785"/>
    <w:rsid w:val="00A30187"/>
    <w:rsid w:val="00A30A3E"/>
    <w:rsid w:val="00A30C01"/>
    <w:rsid w:val="00A311A7"/>
    <w:rsid w:val="00A315B6"/>
    <w:rsid w:val="00A31D2F"/>
    <w:rsid w:val="00A34188"/>
    <w:rsid w:val="00A3448A"/>
    <w:rsid w:val="00A352A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7240"/>
    <w:rsid w:val="00A61499"/>
    <w:rsid w:val="00A627CD"/>
    <w:rsid w:val="00A62A77"/>
    <w:rsid w:val="00A62B5B"/>
    <w:rsid w:val="00A63483"/>
    <w:rsid w:val="00A6441F"/>
    <w:rsid w:val="00A6442E"/>
    <w:rsid w:val="00A64FA1"/>
    <w:rsid w:val="00A655FC"/>
    <w:rsid w:val="00A657D7"/>
    <w:rsid w:val="00A659D8"/>
    <w:rsid w:val="00A660AC"/>
    <w:rsid w:val="00A66230"/>
    <w:rsid w:val="00A6694B"/>
    <w:rsid w:val="00A66B54"/>
    <w:rsid w:val="00A67E6C"/>
    <w:rsid w:val="00A67E8B"/>
    <w:rsid w:val="00A704B5"/>
    <w:rsid w:val="00A70F58"/>
    <w:rsid w:val="00A71574"/>
    <w:rsid w:val="00A71B99"/>
    <w:rsid w:val="00A739D0"/>
    <w:rsid w:val="00A73A8F"/>
    <w:rsid w:val="00A761D4"/>
    <w:rsid w:val="00A776C3"/>
    <w:rsid w:val="00A77EC4"/>
    <w:rsid w:val="00A804AA"/>
    <w:rsid w:val="00A80783"/>
    <w:rsid w:val="00A8222F"/>
    <w:rsid w:val="00A83566"/>
    <w:rsid w:val="00A85BC1"/>
    <w:rsid w:val="00A8671A"/>
    <w:rsid w:val="00A8740B"/>
    <w:rsid w:val="00A874E2"/>
    <w:rsid w:val="00A91F2D"/>
    <w:rsid w:val="00A920A7"/>
    <w:rsid w:val="00A920C4"/>
    <w:rsid w:val="00A92879"/>
    <w:rsid w:val="00A9442A"/>
    <w:rsid w:val="00AA016F"/>
    <w:rsid w:val="00AA0A30"/>
    <w:rsid w:val="00AA1693"/>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0DBC"/>
    <w:rsid w:val="00AC1AF6"/>
    <w:rsid w:val="00AC2900"/>
    <w:rsid w:val="00AC2DAE"/>
    <w:rsid w:val="00AC2ECD"/>
    <w:rsid w:val="00AC3119"/>
    <w:rsid w:val="00AC3129"/>
    <w:rsid w:val="00AC49FB"/>
    <w:rsid w:val="00AC4A44"/>
    <w:rsid w:val="00AC585B"/>
    <w:rsid w:val="00AC5A1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6BC9"/>
    <w:rsid w:val="00AE7B6B"/>
    <w:rsid w:val="00AF03CF"/>
    <w:rsid w:val="00AF1594"/>
    <w:rsid w:val="00AF1C5D"/>
    <w:rsid w:val="00AF1E50"/>
    <w:rsid w:val="00AF254F"/>
    <w:rsid w:val="00AF26F5"/>
    <w:rsid w:val="00AF39EE"/>
    <w:rsid w:val="00AF42BD"/>
    <w:rsid w:val="00AF42D7"/>
    <w:rsid w:val="00AF46EB"/>
    <w:rsid w:val="00B006FE"/>
    <w:rsid w:val="00B007CB"/>
    <w:rsid w:val="00B00E75"/>
    <w:rsid w:val="00B01C9A"/>
    <w:rsid w:val="00B029BF"/>
    <w:rsid w:val="00B02AA9"/>
    <w:rsid w:val="00B02DF6"/>
    <w:rsid w:val="00B02FA3"/>
    <w:rsid w:val="00B03674"/>
    <w:rsid w:val="00B03EA7"/>
    <w:rsid w:val="00B048FD"/>
    <w:rsid w:val="00B04CE3"/>
    <w:rsid w:val="00B05084"/>
    <w:rsid w:val="00B05E64"/>
    <w:rsid w:val="00B061A8"/>
    <w:rsid w:val="00B10948"/>
    <w:rsid w:val="00B10B4F"/>
    <w:rsid w:val="00B12CAD"/>
    <w:rsid w:val="00B13111"/>
    <w:rsid w:val="00B137D4"/>
    <w:rsid w:val="00B1425F"/>
    <w:rsid w:val="00B145D3"/>
    <w:rsid w:val="00B157F9"/>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7470"/>
    <w:rsid w:val="00B2763F"/>
    <w:rsid w:val="00B27AAC"/>
    <w:rsid w:val="00B3013B"/>
    <w:rsid w:val="00B30929"/>
    <w:rsid w:val="00B32F09"/>
    <w:rsid w:val="00B35C12"/>
    <w:rsid w:val="00B35D01"/>
    <w:rsid w:val="00B365D7"/>
    <w:rsid w:val="00B36DBA"/>
    <w:rsid w:val="00B372AA"/>
    <w:rsid w:val="00B40445"/>
    <w:rsid w:val="00B409E0"/>
    <w:rsid w:val="00B4140D"/>
    <w:rsid w:val="00B4169E"/>
    <w:rsid w:val="00B41888"/>
    <w:rsid w:val="00B42830"/>
    <w:rsid w:val="00B43023"/>
    <w:rsid w:val="00B441AC"/>
    <w:rsid w:val="00B44BE6"/>
    <w:rsid w:val="00B45A52"/>
    <w:rsid w:val="00B46175"/>
    <w:rsid w:val="00B463A9"/>
    <w:rsid w:val="00B4701E"/>
    <w:rsid w:val="00B47963"/>
    <w:rsid w:val="00B47DD1"/>
    <w:rsid w:val="00B47DE5"/>
    <w:rsid w:val="00B50DD6"/>
    <w:rsid w:val="00B50FF9"/>
    <w:rsid w:val="00B516B8"/>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80ABA"/>
    <w:rsid w:val="00B80DF6"/>
    <w:rsid w:val="00B81A6C"/>
    <w:rsid w:val="00B82BA2"/>
    <w:rsid w:val="00B82CCE"/>
    <w:rsid w:val="00B83DA4"/>
    <w:rsid w:val="00B8448B"/>
    <w:rsid w:val="00B85DE5"/>
    <w:rsid w:val="00B86465"/>
    <w:rsid w:val="00B86FC6"/>
    <w:rsid w:val="00B8751D"/>
    <w:rsid w:val="00B90F73"/>
    <w:rsid w:val="00B90FD7"/>
    <w:rsid w:val="00B9307A"/>
    <w:rsid w:val="00B93B59"/>
    <w:rsid w:val="00B93BF6"/>
    <w:rsid w:val="00B9406A"/>
    <w:rsid w:val="00B940C4"/>
    <w:rsid w:val="00B9621C"/>
    <w:rsid w:val="00B9750E"/>
    <w:rsid w:val="00BA1757"/>
    <w:rsid w:val="00BA2280"/>
    <w:rsid w:val="00BA2A08"/>
    <w:rsid w:val="00BA40B1"/>
    <w:rsid w:val="00BA4DEC"/>
    <w:rsid w:val="00BA56D2"/>
    <w:rsid w:val="00BA6B4A"/>
    <w:rsid w:val="00BA6D6A"/>
    <w:rsid w:val="00BA76E0"/>
    <w:rsid w:val="00BB1A6B"/>
    <w:rsid w:val="00BB276E"/>
    <w:rsid w:val="00BB2A25"/>
    <w:rsid w:val="00BB3873"/>
    <w:rsid w:val="00BB3C3E"/>
    <w:rsid w:val="00BB51E9"/>
    <w:rsid w:val="00BB578C"/>
    <w:rsid w:val="00BB59E1"/>
    <w:rsid w:val="00BB5A01"/>
    <w:rsid w:val="00BC0500"/>
    <w:rsid w:val="00BC0E27"/>
    <w:rsid w:val="00BC0FDC"/>
    <w:rsid w:val="00BC1D34"/>
    <w:rsid w:val="00BC293D"/>
    <w:rsid w:val="00BC3053"/>
    <w:rsid w:val="00BC37BC"/>
    <w:rsid w:val="00BC3F8D"/>
    <w:rsid w:val="00BC4C10"/>
    <w:rsid w:val="00BC4D2E"/>
    <w:rsid w:val="00BC508B"/>
    <w:rsid w:val="00BC5974"/>
    <w:rsid w:val="00BC631F"/>
    <w:rsid w:val="00BD092B"/>
    <w:rsid w:val="00BD3C10"/>
    <w:rsid w:val="00BD48AC"/>
    <w:rsid w:val="00BD5F1A"/>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CC6"/>
    <w:rsid w:val="00C02E40"/>
    <w:rsid w:val="00C040F7"/>
    <w:rsid w:val="00C044AB"/>
    <w:rsid w:val="00C05506"/>
    <w:rsid w:val="00C05706"/>
    <w:rsid w:val="00C07377"/>
    <w:rsid w:val="00C10478"/>
    <w:rsid w:val="00C1083E"/>
    <w:rsid w:val="00C12107"/>
    <w:rsid w:val="00C12F67"/>
    <w:rsid w:val="00C14035"/>
    <w:rsid w:val="00C14BAE"/>
    <w:rsid w:val="00C14D4B"/>
    <w:rsid w:val="00C154BB"/>
    <w:rsid w:val="00C158AA"/>
    <w:rsid w:val="00C16522"/>
    <w:rsid w:val="00C2074F"/>
    <w:rsid w:val="00C2312E"/>
    <w:rsid w:val="00C2384C"/>
    <w:rsid w:val="00C242BB"/>
    <w:rsid w:val="00C24CEF"/>
    <w:rsid w:val="00C24FCC"/>
    <w:rsid w:val="00C268E6"/>
    <w:rsid w:val="00C27103"/>
    <w:rsid w:val="00C2770A"/>
    <w:rsid w:val="00C279A9"/>
    <w:rsid w:val="00C279B5"/>
    <w:rsid w:val="00C27BB8"/>
    <w:rsid w:val="00C27C45"/>
    <w:rsid w:val="00C27CFD"/>
    <w:rsid w:val="00C30B92"/>
    <w:rsid w:val="00C30C7C"/>
    <w:rsid w:val="00C3121C"/>
    <w:rsid w:val="00C315D9"/>
    <w:rsid w:val="00C324A3"/>
    <w:rsid w:val="00C3311C"/>
    <w:rsid w:val="00C33848"/>
    <w:rsid w:val="00C34892"/>
    <w:rsid w:val="00C34F8E"/>
    <w:rsid w:val="00C35503"/>
    <w:rsid w:val="00C3654E"/>
    <w:rsid w:val="00C3719D"/>
    <w:rsid w:val="00C37908"/>
    <w:rsid w:val="00C37B29"/>
    <w:rsid w:val="00C37CB2"/>
    <w:rsid w:val="00C417E9"/>
    <w:rsid w:val="00C41D81"/>
    <w:rsid w:val="00C42C31"/>
    <w:rsid w:val="00C42FDB"/>
    <w:rsid w:val="00C43D9D"/>
    <w:rsid w:val="00C452C5"/>
    <w:rsid w:val="00C45958"/>
    <w:rsid w:val="00C468D9"/>
    <w:rsid w:val="00C473A5"/>
    <w:rsid w:val="00C5167A"/>
    <w:rsid w:val="00C52C3A"/>
    <w:rsid w:val="00C54995"/>
    <w:rsid w:val="00C54D41"/>
    <w:rsid w:val="00C56DE6"/>
    <w:rsid w:val="00C57D06"/>
    <w:rsid w:val="00C60783"/>
    <w:rsid w:val="00C618E7"/>
    <w:rsid w:val="00C623E1"/>
    <w:rsid w:val="00C64672"/>
    <w:rsid w:val="00C65C58"/>
    <w:rsid w:val="00C6656B"/>
    <w:rsid w:val="00C668AD"/>
    <w:rsid w:val="00C67476"/>
    <w:rsid w:val="00C67BBE"/>
    <w:rsid w:val="00C70057"/>
    <w:rsid w:val="00C700A6"/>
    <w:rsid w:val="00C70697"/>
    <w:rsid w:val="00C70885"/>
    <w:rsid w:val="00C72093"/>
    <w:rsid w:val="00C72460"/>
    <w:rsid w:val="00C72EF4"/>
    <w:rsid w:val="00C7343E"/>
    <w:rsid w:val="00C73668"/>
    <w:rsid w:val="00C74215"/>
    <w:rsid w:val="00C744FE"/>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0254"/>
    <w:rsid w:val="00CA150B"/>
    <w:rsid w:val="00CA160F"/>
    <w:rsid w:val="00CA1BAD"/>
    <w:rsid w:val="00CA1ED8"/>
    <w:rsid w:val="00CA2A0C"/>
    <w:rsid w:val="00CA3AE0"/>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111F"/>
    <w:rsid w:val="00CC131E"/>
    <w:rsid w:val="00CC1CA2"/>
    <w:rsid w:val="00CC2011"/>
    <w:rsid w:val="00CC3EA0"/>
    <w:rsid w:val="00CC49EC"/>
    <w:rsid w:val="00CC4E4B"/>
    <w:rsid w:val="00CC514C"/>
    <w:rsid w:val="00CC6578"/>
    <w:rsid w:val="00CC65CA"/>
    <w:rsid w:val="00CC7B45"/>
    <w:rsid w:val="00CD1188"/>
    <w:rsid w:val="00CD221A"/>
    <w:rsid w:val="00CD2371"/>
    <w:rsid w:val="00CD254F"/>
    <w:rsid w:val="00CD28AF"/>
    <w:rsid w:val="00CD2ED1"/>
    <w:rsid w:val="00CD304D"/>
    <w:rsid w:val="00CD337B"/>
    <w:rsid w:val="00CD4E39"/>
    <w:rsid w:val="00CD5FB6"/>
    <w:rsid w:val="00CD6454"/>
    <w:rsid w:val="00CD6EE0"/>
    <w:rsid w:val="00CE0150"/>
    <w:rsid w:val="00CE0424"/>
    <w:rsid w:val="00CE216D"/>
    <w:rsid w:val="00CE487D"/>
    <w:rsid w:val="00CE5268"/>
    <w:rsid w:val="00CE599C"/>
    <w:rsid w:val="00CE5C53"/>
    <w:rsid w:val="00CE6B3E"/>
    <w:rsid w:val="00CE7561"/>
    <w:rsid w:val="00CE7AAB"/>
    <w:rsid w:val="00CE7EEE"/>
    <w:rsid w:val="00CF0440"/>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101AA"/>
    <w:rsid w:val="00D10249"/>
    <w:rsid w:val="00D11523"/>
    <w:rsid w:val="00D115C3"/>
    <w:rsid w:val="00D1180B"/>
    <w:rsid w:val="00D11897"/>
    <w:rsid w:val="00D11E4B"/>
    <w:rsid w:val="00D122A8"/>
    <w:rsid w:val="00D13135"/>
    <w:rsid w:val="00D13E4E"/>
    <w:rsid w:val="00D14762"/>
    <w:rsid w:val="00D17576"/>
    <w:rsid w:val="00D21637"/>
    <w:rsid w:val="00D2241E"/>
    <w:rsid w:val="00D22B44"/>
    <w:rsid w:val="00D22E2F"/>
    <w:rsid w:val="00D23710"/>
    <w:rsid w:val="00D239A7"/>
    <w:rsid w:val="00D23F47"/>
    <w:rsid w:val="00D24DFB"/>
    <w:rsid w:val="00D26874"/>
    <w:rsid w:val="00D26CD7"/>
    <w:rsid w:val="00D302D7"/>
    <w:rsid w:val="00D32346"/>
    <w:rsid w:val="00D33BB2"/>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2126"/>
    <w:rsid w:val="00D538EE"/>
    <w:rsid w:val="00D543BC"/>
    <w:rsid w:val="00D546FF"/>
    <w:rsid w:val="00D55AD5"/>
    <w:rsid w:val="00D576CA"/>
    <w:rsid w:val="00D602D9"/>
    <w:rsid w:val="00D61643"/>
    <w:rsid w:val="00D61AF5"/>
    <w:rsid w:val="00D6280F"/>
    <w:rsid w:val="00D62F5F"/>
    <w:rsid w:val="00D63929"/>
    <w:rsid w:val="00D652B5"/>
    <w:rsid w:val="00D66155"/>
    <w:rsid w:val="00D708B0"/>
    <w:rsid w:val="00D72259"/>
    <w:rsid w:val="00D733F7"/>
    <w:rsid w:val="00D73516"/>
    <w:rsid w:val="00D74EE2"/>
    <w:rsid w:val="00D7601F"/>
    <w:rsid w:val="00D77B1D"/>
    <w:rsid w:val="00D8021F"/>
    <w:rsid w:val="00D80383"/>
    <w:rsid w:val="00D823C6"/>
    <w:rsid w:val="00D82E39"/>
    <w:rsid w:val="00D8327F"/>
    <w:rsid w:val="00D86976"/>
    <w:rsid w:val="00D86CA3"/>
    <w:rsid w:val="00D871CE"/>
    <w:rsid w:val="00D87586"/>
    <w:rsid w:val="00D87B9C"/>
    <w:rsid w:val="00D9196D"/>
    <w:rsid w:val="00D92982"/>
    <w:rsid w:val="00D92B9B"/>
    <w:rsid w:val="00D93F50"/>
    <w:rsid w:val="00D9498F"/>
    <w:rsid w:val="00D9643D"/>
    <w:rsid w:val="00D974B6"/>
    <w:rsid w:val="00DA0A96"/>
    <w:rsid w:val="00DA1EB0"/>
    <w:rsid w:val="00DA1FE5"/>
    <w:rsid w:val="00DA2641"/>
    <w:rsid w:val="00DA29B7"/>
    <w:rsid w:val="00DA2C77"/>
    <w:rsid w:val="00DA305E"/>
    <w:rsid w:val="00DA32AE"/>
    <w:rsid w:val="00DA5417"/>
    <w:rsid w:val="00DA56E8"/>
    <w:rsid w:val="00DA61EB"/>
    <w:rsid w:val="00DB03ED"/>
    <w:rsid w:val="00DB0A9F"/>
    <w:rsid w:val="00DB25D4"/>
    <w:rsid w:val="00DB2CE8"/>
    <w:rsid w:val="00DB377D"/>
    <w:rsid w:val="00DB3AF9"/>
    <w:rsid w:val="00DB3F00"/>
    <w:rsid w:val="00DB5360"/>
    <w:rsid w:val="00DB6716"/>
    <w:rsid w:val="00DB6872"/>
    <w:rsid w:val="00DB77D7"/>
    <w:rsid w:val="00DC0956"/>
    <w:rsid w:val="00DC1B15"/>
    <w:rsid w:val="00DC2D36"/>
    <w:rsid w:val="00DC38EE"/>
    <w:rsid w:val="00DC4051"/>
    <w:rsid w:val="00DC53EF"/>
    <w:rsid w:val="00DC5A16"/>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6E1"/>
    <w:rsid w:val="00E013F9"/>
    <w:rsid w:val="00E01842"/>
    <w:rsid w:val="00E022E8"/>
    <w:rsid w:val="00E03380"/>
    <w:rsid w:val="00E04F9C"/>
    <w:rsid w:val="00E05747"/>
    <w:rsid w:val="00E0704C"/>
    <w:rsid w:val="00E07528"/>
    <w:rsid w:val="00E110E7"/>
    <w:rsid w:val="00E11B20"/>
    <w:rsid w:val="00E12049"/>
    <w:rsid w:val="00E1320E"/>
    <w:rsid w:val="00E14D70"/>
    <w:rsid w:val="00E15207"/>
    <w:rsid w:val="00E15C76"/>
    <w:rsid w:val="00E171D6"/>
    <w:rsid w:val="00E17742"/>
    <w:rsid w:val="00E17FA2"/>
    <w:rsid w:val="00E20DF7"/>
    <w:rsid w:val="00E22330"/>
    <w:rsid w:val="00E2274D"/>
    <w:rsid w:val="00E25B05"/>
    <w:rsid w:val="00E25CB5"/>
    <w:rsid w:val="00E279A8"/>
    <w:rsid w:val="00E30B5A"/>
    <w:rsid w:val="00E3123D"/>
    <w:rsid w:val="00E31461"/>
    <w:rsid w:val="00E31D43"/>
    <w:rsid w:val="00E32608"/>
    <w:rsid w:val="00E32D44"/>
    <w:rsid w:val="00E331EB"/>
    <w:rsid w:val="00E33275"/>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6F1"/>
    <w:rsid w:val="00E44AAD"/>
    <w:rsid w:val="00E46305"/>
    <w:rsid w:val="00E46886"/>
    <w:rsid w:val="00E46A0D"/>
    <w:rsid w:val="00E474C4"/>
    <w:rsid w:val="00E47AEF"/>
    <w:rsid w:val="00E53B75"/>
    <w:rsid w:val="00E54E3B"/>
    <w:rsid w:val="00E55913"/>
    <w:rsid w:val="00E55B35"/>
    <w:rsid w:val="00E57565"/>
    <w:rsid w:val="00E601E8"/>
    <w:rsid w:val="00E6081A"/>
    <w:rsid w:val="00E609AC"/>
    <w:rsid w:val="00E62A48"/>
    <w:rsid w:val="00E631D7"/>
    <w:rsid w:val="00E6372B"/>
    <w:rsid w:val="00E63838"/>
    <w:rsid w:val="00E63AA5"/>
    <w:rsid w:val="00E64434"/>
    <w:rsid w:val="00E65F8F"/>
    <w:rsid w:val="00E676A9"/>
    <w:rsid w:val="00E67C51"/>
    <w:rsid w:val="00E71581"/>
    <w:rsid w:val="00E72EFC"/>
    <w:rsid w:val="00E7472D"/>
    <w:rsid w:val="00E74C0E"/>
    <w:rsid w:val="00E74C51"/>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3475"/>
    <w:rsid w:val="00EA50BB"/>
    <w:rsid w:val="00EA5F7F"/>
    <w:rsid w:val="00EA6166"/>
    <w:rsid w:val="00EA6318"/>
    <w:rsid w:val="00EA7114"/>
    <w:rsid w:val="00EA7543"/>
    <w:rsid w:val="00EA7A41"/>
    <w:rsid w:val="00EB077B"/>
    <w:rsid w:val="00EB192E"/>
    <w:rsid w:val="00EB1D7E"/>
    <w:rsid w:val="00EB21EB"/>
    <w:rsid w:val="00EB4CA3"/>
    <w:rsid w:val="00EB4EA2"/>
    <w:rsid w:val="00EB70EE"/>
    <w:rsid w:val="00EC0835"/>
    <w:rsid w:val="00EC1DA2"/>
    <w:rsid w:val="00EC24D5"/>
    <w:rsid w:val="00EC27C6"/>
    <w:rsid w:val="00EC3351"/>
    <w:rsid w:val="00EC4207"/>
    <w:rsid w:val="00EC5121"/>
    <w:rsid w:val="00EC5520"/>
    <w:rsid w:val="00EC5653"/>
    <w:rsid w:val="00EC6D28"/>
    <w:rsid w:val="00EC71CE"/>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A55"/>
    <w:rsid w:val="00F01783"/>
    <w:rsid w:val="00F018E8"/>
    <w:rsid w:val="00F01CC5"/>
    <w:rsid w:val="00F022A3"/>
    <w:rsid w:val="00F027A1"/>
    <w:rsid w:val="00F03522"/>
    <w:rsid w:val="00F0497A"/>
    <w:rsid w:val="00F05220"/>
    <w:rsid w:val="00F0528D"/>
    <w:rsid w:val="00F052E7"/>
    <w:rsid w:val="00F05D4A"/>
    <w:rsid w:val="00F06C67"/>
    <w:rsid w:val="00F06D60"/>
    <w:rsid w:val="00F06DCE"/>
    <w:rsid w:val="00F06DFD"/>
    <w:rsid w:val="00F071D1"/>
    <w:rsid w:val="00F0734D"/>
    <w:rsid w:val="00F07533"/>
    <w:rsid w:val="00F077CD"/>
    <w:rsid w:val="00F10201"/>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5044"/>
    <w:rsid w:val="00F2681E"/>
    <w:rsid w:val="00F305F5"/>
    <w:rsid w:val="00F30828"/>
    <w:rsid w:val="00F309B9"/>
    <w:rsid w:val="00F30B2B"/>
    <w:rsid w:val="00F313D6"/>
    <w:rsid w:val="00F351B5"/>
    <w:rsid w:val="00F37234"/>
    <w:rsid w:val="00F37C8C"/>
    <w:rsid w:val="00F40F0C"/>
    <w:rsid w:val="00F41073"/>
    <w:rsid w:val="00F43477"/>
    <w:rsid w:val="00F43EA6"/>
    <w:rsid w:val="00F44069"/>
    <w:rsid w:val="00F45ACD"/>
    <w:rsid w:val="00F47507"/>
    <w:rsid w:val="00F4766C"/>
    <w:rsid w:val="00F5030A"/>
    <w:rsid w:val="00F5060E"/>
    <w:rsid w:val="00F507D1"/>
    <w:rsid w:val="00F519CE"/>
    <w:rsid w:val="00F51ADA"/>
    <w:rsid w:val="00F52407"/>
    <w:rsid w:val="00F52594"/>
    <w:rsid w:val="00F52CEA"/>
    <w:rsid w:val="00F55511"/>
    <w:rsid w:val="00F55FD8"/>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3BE"/>
    <w:rsid w:val="00F717B5"/>
    <w:rsid w:val="00F71F69"/>
    <w:rsid w:val="00F724CF"/>
    <w:rsid w:val="00F725F5"/>
    <w:rsid w:val="00F72B72"/>
    <w:rsid w:val="00F73E4D"/>
    <w:rsid w:val="00F74BB9"/>
    <w:rsid w:val="00F75582"/>
    <w:rsid w:val="00F75D63"/>
    <w:rsid w:val="00F76EFA"/>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3D7"/>
    <w:rsid w:val="00F916FD"/>
    <w:rsid w:val="00F9184A"/>
    <w:rsid w:val="00F91E42"/>
    <w:rsid w:val="00F91F9A"/>
    <w:rsid w:val="00F92782"/>
    <w:rsid w:val="00F927C5"/>
    <w:rsid w:val="00F93025"/>
    <w:rsid w:val="00F93AA9"/>
    <w:rsid w:val="00F93B6A"/>
    <w:rsid w:val="00F945FA"/>
    <w:rsid w:val="00F95961"/>
    <w:rsid w:val="00F96146"/>
    <w:rsid w:val="00F96985"/>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7A0F"/>
    <w:rsid w:val="00FC12AF"/>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2365"/>
    <w:rsid w:val="00FE37D7"/>
    <w:rsid w:val="00FE3B62"/>
    <w:rsid w:val="00FE4022"/>
    <w:rsid w:val="00FE4916"/>
    <w:rsid w:val="00FE4C7B"/>
    <w:rsid w:val="00FE4FBC"/>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5EE2"/>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E9AB76F2-8A12-41A0-90CA-915D7138B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1214</TotalTime>
  <Pages>5</Pages>
  <Words>2443</Words>
  <Characters>13218</Characters>
  <Application>Microsoft Office Word</Application>
  <DocSecurity>0</DocSecurity>
  <Lines>293</Lines>
  <Paragraphs>200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15461</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70</cp:revision>
  <cp:lastPrinted>2008-01-31T16:09:00Z</cp:lastPrinted>
  <dcterms:created xsi:type="dcterms:W3CDTF">2023-09-18T11:22:00Z</dcterms:created>
  <dcterms:modified xsi:type="dcterms:W3CDTF">2023-09-28T18:37:00Z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